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B73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</w:pPr>
    </w:p>
    <w:p w:rsid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</w:pPr>
    </w:p>
    <w:p w:rsidR="00431EBF" w:rsidRP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ПОСТАНОВЛЕНИЕ</w:t>
      </w:r>
    </w:p>
    <w:p w:rsidR="00431EBF" w:rsidRP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администрации городского округа «Вуктыл»</w:t>
      </w:r>
    </w:p>
    <w:p w:rsidR="00431EBF" w:rsidRP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 xml:space="preserve">от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03 декабря</w:t>
      </w: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 xml:space="preserve"> 2019 г. № 1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2</w:t>
      </w: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/1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552</w:t>
      </w:r>
    </w:p>
    <w:p w:rsidR="00431EBF" w:rsidRPr="00431EBF" w:rsidRDefault="00431EBF" w:rsidP="00431EBF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bidi="hi-IN"/>
        </w:rPr>
      </w:pPr>
    </w:p>
    <w:p w:rsidR="00431EBF" w:rsidRPr="00431EBF" w:rsidRDefault="00431EBF" w:rsidP="00431EBF">
      <w:pPr>
        <w:widowControl w:val="0"/>
        <w:tabs>
          <w:tab w:val="left" w:pos="5400"/>
          <w:tab w:val="left" w:pos="5940"/>
          <w:tab w:val="left" w:pos="6480"/>
        </w:tabs>
        <w:autoSpaceDE w:val="0"/>
        <w:spacing w:after="480" w:line="240" w:lineRule="auto"/>
        <w:ind w:firstLine="56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085F7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hyperlink w:anchor="P34" w:history="1">
        <w:proofErr w:type="gramStart"/>
        <w:r w:rsidRPr="00085F7A">
          <w:rPr>
            <w:rFonts w:ascii="Times New Roman" w:hAnsi="Times New Roman" w:cs="Times New Roman"/>
            <w:b/>
            <w:sz w:val="24"/>
            <w:szCs w:val="24"/>
          </w:rPr>
          <w:t>Порядк</w:t>
        </w:r>
      </w:hyperlink>
      <w:r w:rsidRPr="00085F7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85F7A">
        <w:rPr>
          <w:rFonts w:ascii="Times New Roman" w:hAnsi="Times New Roman" w:cs="Times New Roman"/>
          <w:b/>
          <w:sz w:val="24"/>
          <w:szCs w:val="24"/>
        </w:rPr>
        <w:t xml:space="preserve"> разработки, корректировки,</w:t>
      </w:r>
      <w:r w:rsidRPr="00A755F5">
        <w:rPr>
          <w:rFonts w:ascii="Times New Roman" w:hAnsi="Times New Roman" w:cs="Times New Roman"/>
          <w:b/>
          <w:sz w:val="24"/>
          <w:szCs w:val="24"/>
        </w:rPr>
        <w:t xml:space="preserve"> осуществления мониторинга и контроля реализации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755F5">
        <w:rPr>
          <w:rFonts w:ascii="Times New Roman" w:hAnsi="Times New Roman" w:cs="Times New Roman"/>
          <w:b/>
          <w:sz w:val="24"/>
          <w:szCs w:val="24"/>
        </w:rPr>
        <w:t xml:space="preserve">тратегии социально-экономического развития муниципального образования городского округа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755F5">
        <w:rPr>
          <w:rFonts w:ascii="Times New Roman" w:hAnsi="Times New Roman" w:cs="Times New Roman"/>
          <w:b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755F5">
        <w:rPr>
          <w:rFonts w:ascii="Times New Roman" w:hAnsi="Times New Roman" w:cs="Times New Roman"/>
          <w:b/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755F5">
        <w:rPr>
          <w:rFonts w:ascii="Times New Roman" w:hAnsi="Times New Roman" w:cs="Times New Roman"/>
          <w:b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656B" w:rsidRPr="003B361F" w:rsidRDefault="00F72562" w:rsidP="00046A0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6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6 октября 2003 года № 131-ФЗ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28 июня 2014 года № 172-ФЗ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>, п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экономики Республики Коми от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 2019 года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</w:t>
      </w:r>
      <w:proofErr w:type="gramEnd"/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 в Республике Коми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</w:t>
      </w:r>
      <w:r w:rsidR="003B361F" w:rsidRPr="003B36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F1656B" w:rsidRPr="00BE7EC7" w:rsidRDefault="00A755F5" w:rsidP="00213C25">
      <w:pPr>
        <w:pStyle w:val="ConsPlusNormal0"/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37600D">
        <w:rPr>
          <w:sz w:val="24"/>
          <w:szCs w:val="24"/>
        </w:rPr>
        <w:t xml:space="preserve">Утвердить </w:t>
      </w:r>
      <w:hyperlink w:anchor="P34" w:history="1">
        <w:r w:rsidRPr="0037600D">
          <w:rPr>
            <w:sz w:val="24"/>
            <w:szCs w:val="24"/>
          </w:rPr>
          <w:t>Порядок</w:t>
        </w:r>
      </w:hyperlink>
      <w:r w:rsidRPr="0037600D">
        <w:rPr>
          <w:sz w:val="24"/>
          <w:szCs w:val="24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муниципального </w:t>
      </w:r>
      <w:r w:rsidRPr="00BE7EC7">
        <w:rPr>
          <w:sz w:val="24"/>
          <w:szCs w:val="24"/>
        </w:rPr>
        <w:t xml:space="preserve">образования городского округа  </w:t>
      </w:r>
      <w:r w:rsidR="0037600D" w:rsidRPr="00BE7EC7">
        <w:rPr>
          <w:sz w:val="24"/>
          <w:szCs w:val="24"/>
        </w:rPr>
        <w:t>«</w:t>
      </w:r>
      <w:r w:rsidRPr="00BE7EC7">
        <w:rPr>
          <w:sz w:val="24"/>
          <w:szCs w:val="24"/>
        </w:rPr>
        <w:t>Вуктыл</w:t>
      </w:r>
      <w:r w:rsidR="0037600D" w:rsidRPr="00BE7EC7">
        <w:rPr>
          <w:sz w:val="24"/>
          <w:szCs w:val="24"/>
        </w:rPr>
        <w:t>»</w:t>
      </w:r>
      <w:r w:rsidRPr="00BE7EC7">
        <w:rPr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 w:rsidR="0037600D" w:rsidRPr="00BE7EC7">
        <w:rPr>
          <w:sz w:val="24"/>
          <w:szCs w:val="24"/>
        </w:rPr>
        <w:t>«</w:t>
      </w:r>
      <w:r w:rsidRPr="00BE7EC7">
        <w:rPr>
          <w:sz w:val="24"/>
          <w:szCs w:val="24"/>
        </w:rPr>
        <w:t>Вуктыл</w:t>
      </w:r>
      <w:r w:rsidR="0037600D" w:rsidRPr="00BE7EC7">
        <w:rPr>
          <w:sz w:val="24"/>
          <w:szCs w:val="24"/>
        </w:rPr>
        <w:t>»</w:t>
      </w:r>
      <w:r w:rsidRPr="00BE7EC7">
        <w:rPr>
          <w:sz w:val="24"/>
          <w:szCs w:val="24"/>
        </w:rPr>
        <w:t xml:space="preserve"> согласно приложению </w:t>
      </w:r>
      <w:r w:rsidR="00C72FD4" w:rsidRPr="00BE7EC7">
        <w:rPr>
          <w:sz w:val="24"/>
          <w:szCs w:val="24"/>
        </w:rPr>
        <w:t xml:space="preserve">№1 </w:t>
      </w:r>
      <w:r w:rsidRPr="00BE7EC7">
        <w:rPr>
          <w:sz w:val="24"/>
          <w:szCs w:val="24"/>
        </w:rPr>
        <w:t>к настоящему постановлению.</w:t>
      </w:r>
    </w:p>
    <w:p w:rsidR="0037600D" w:rsidRPr="00C72FD4" w:rsidRDefault="0037600D" w:rsidP="00213C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00D">
        <w:rPr>
          <w:rFonts w:ascii="Times New Roman" w:hAnsi="Times New Roman" w:cs="Times New Roman"/>
          <w:sz w:val="24"/>
          <w:szCs w:val="24"/>
        </w:rPr>
        <w:t>Утвердить форму плана мероприятий по реализации стратегии социально-</w:t>
      </w:r>
      <w:r w:rsidRPr="003B361F">
        <w:rPr>
          <w:rFonts w:ascii="Times New Roman" w:hAnsi="Times New Roman" w:cs="Times New Roman"/>
          <w:sz w:val="24"/>
          <w:szCs w:val="24"/>
        </w:rPr>
        <w:t xml:space="preserve">экономического развития муниципального образования </w:t>
      </w:r>
      <w:r w:rsidR="00213C25" w:rsidRPr="003B361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72FD4">
        <w:rPr>
          <w:rFonts w:ascii="Times New Roman" w:hAnsi="Times New Roman" w:cs="Times New Roman"/>
          <w:sz w:val="24"/>
          <w:szCs w:val="24"/>
        </w:rPr>
        <w:t xml:space="preserve"> </w:t>
      </w:r>
      <w:r w:rsidR="00C72FD4" w:rsidRPr="00C72FD4">
        <w:rPr>
          <w:rFonts w:ascii="Times New Roman" w:hAnsi="Times New Roman" w:cs="Times New Roman"/>
          <w:sz w:val="24"/>
          <w:szCs w:val="24"/>
        </w:rPr>
        <w:t>согласно приложению № 2 к настоящему постановлению</w:t>
      </w:r>
      <w:r w:rsidRPr="00C72FD4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8241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7256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 и подлежит опубликованию (обнародованию).</w:t>
      </w:r>
    </w:p>
    <w:p w:rsidR="00F1656B" w:rsidRDefault="00824158" w:rsidP="002469DE">
      <w:pPr>
        <w:spacing w:after="64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F7256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725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25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469DE"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</w:t>
      </w:r>
      <w:r w:rsidR="00F72562">
        <w:rPr>
          <w:rFonts w:ascii="Times New Roman" w:hAnsi="Times New Roman" w:cs="Times New Roman"/>
          <w:sz w:val="24"/>
          <w:szCs w:val="24"/>
        </w:rPr>
        <w:t>.</w:t>
      </w:r>
    </w:p>
    <w:p w:rsidR="00EF492A" w:rsidRPr="00EF492A" w:rsidRDefault="00EF492A" w:rsidP="00EF492A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proofErr w:type="spellStart"/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>И.о</w:t>
      </w:r>
      <w:proofErr w:type="spellEnd"/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главы муниципального образования </w:t>
      </w:r>
    </w:p>
    <w:p w:rsidR="00EF492A" w:rsidRPr="00EF492A" w:rsidRDefault="00EF492A" w:rsidP="00EF492A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городского округа «Вуктыл» - руководителя </w:t>
      </w:r>
    </w:p>
    <w:p w:rsidR="00EF492A" w:rsidRPr="00EF492A" w:rsidRDefault="00EF492A" w:rsidP="00EF492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ar-SA"/>
        </w:rPr>
        <w:t xml:space="preserve">администрации  </w:t>
      </w:r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 xml:space="preserve">городского округа «Вуктыл»                                                               С.А. </w:t>
      </w:r>
      <w:proofErr w:type="spellStart"/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>Постельга</w:t>
      </w:r>
      <w:proofErr w:type="spellEnd"/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BD" w:rsidRDefault="00F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BD" w:rsidRDefault="00F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73" w:rsidRDefault="00E03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73" w:rsidRDefault="00E03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73" w:rsidRDefault="00E03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73" w:rsidRDefault="00E03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CA" w:rsidRDefault="001526CA" w:rsidP="001526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418C" w:rsidRDefault="0011418C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1EBF" w:rsidRDefault="00431E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="003760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Вуктыл</w:t>
      </w:r>
      <w:r w:rsidR="0037600D">
        <w:rPr>
          <w:rFonts w:ascii="Times New Roman" w:hAnsi="Times New Roman" w:cs="Times New Roman"/>
          <w:sz w:val="24"/>
          <w:szCs w:val="24"/>
        </w:rPr>
        <w:t>»</w:t>
      </w:r>
    </w:p>
    <w:p w:rsidR="00F1656B" w:rsidRPr="00431EBF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854E4" w:rsidRPr="00431EBF">
        <w:rPr>
          <w:rFonts w:ascii="Times New Roman" w:hAnsi="Times New Roman" w:cs="Times New Roman"/>
          <w:sz w:val="24"/>
          <w:szCs w:val="24"/>
        </w:rPr>
        <w:t>03</w:t>
      </w:r>
      <w:r w:rsidR="001E5208" w:rsidRPr="00431EBF">
        <w:rPr>
          <w:rFonts w:ascii="Times New Roman" w:hAnsi="Times New Roman" w:cs="Times New Roman"/>
          <w:sz w:val="24"/>
          <w:szCs w:val="24"/>
        </w:rPr>
        <w:t xml:space="preserve"> </w:t>
      </w:r>
      <w:r w:rsidR="00A854E4" w:rsidRPr="00431EBF">
        <w:rPr>
          <w:rFonts w:ascii="Times New Roman" w:hAnsi="Times New Roman" w:cs="Times New Roman"/>
          <w:sz w:val="24"/>
          <w:szCs w:val="24"/>
        </w:rPr>
        <w:t>декабря</w:t>
      </w:r>
      <w:r w:rsidRPr="00431EBF">
        <w:rPr>
          <w:rFonts w:ascii="Times New Roman" w:hAnsi="Times New Roman" w:cs="Times New Roman"/>
          <w:sz w:val="24"/>
          <w:szCs w:val="24"/>
        </w:rPr>
        <w:t xml:space="preserve">  201</w:t>
      </w:r>
      <w:r w:rsidR="009457D0" w:rsidRPr="00431EBF">
        <w:rPr>
          <w:rFonts w:ascii="Times New Roman" w:hAnsi="Times New Roman" w:cs="Times New Roman"/>
          <w:sz w:val="24"/>
          <w:szCs w:val="24"/>
        </w:rPr>
        <w:t>9</w:t>
      </w:r>
      <w:r w:rsidRPr="00431EB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854E4" w:rsidRPr="00431EBF">
        <w:rPr>
          <w:rFonts w:ascii="Times New Roman" w:hAnsi="Times New Roman" w:cs="Times New Roman"/>
          <w:sz w:val="24"/>
          <w:szCs w:val="24"/>
        </w:rPr>
        <w:t>12</w:t>
      </w:r>
      <w:r w:rsidR="001E5208" w:rsidRPr="00431EBF">
        <w:rPr>
          <w:rFonts w:ascii="Times New Roman" w:hAnsi="Times New Roman" w:cs="Times New Roman"/>
          <w:sz w:val="24"/>
          <w:szCs w:val="24"/>
        </w:rPr>
        <w:t>/</w:t>
      </w:r>
      <w:r w:rsidR="00A854E4" w:rsidRPr="00431EBF">
        <w:rPr>
          <w:rFonts w:ascii="Times New Roman" w:hAnsi="Times New Roman" w:cs="Times New Roman"/>
          <w:sz w:val="24"/>
          <w:szCs w:val="24"/>
        </w:rPr>
        <w:t>1552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CF02F0">
        <w:rPr>
          <w:rFonts w:ascii="Times New Roman" w:hAnsi="Times New Roman" w:cs="Times New Roman"/>
          <w:sz w:val="24"/>
          <w:szCs w:val="24"/>
        </w:rPr>
        <w:t xml:space="preserve"> №</w:t>
      </w:r>
      <w:r w:rsidR="00A76D86">
        <w:rPr>
          <w:rFonts w:ascii="Times New Roman" w:hAnsi="Times New Roman" w:cs="Times New Roman"/>
          <w:sz w:val="24"/>
          <w:szCs w:val="24"/>
        </w:rPr>
        <w:t xml:space="preserve"> </w:t>
      </w:r>
      <w:r w:rsidR="00CF02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11418C" w:rsidP="00121BF7">
      <w:pPr>
        <w:pStyle w:val="ConsPlusNormal0"/>
        <w:widowControl/>
        <w:ind w:firstLine="0"/>
        <w:jc w:val="center"/>
      </w:pPr>
      <w:r>
        <w:rPr>
          <w:b/>
          <w:caps/>
          <w:sz w:val="24"/>
          <w:szCs w:val="24"/>
        </w:rPr>
        <w:t>ПОРЯДОК</w:t>
      </w:r>
    </w:p>
    <w:p w:rsidR="00121BF7" w:rsidRDefault="0011418C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8C">
        <w:rPr>
          <w:rFonts w:ascii="Times New Roman" w:hAnsi="Times New Roman" w:cs="Times New Roman"/>
          <w:b/>
          <w:sz w:val="24"/>
          <w:szCs w:val="24"/>
        </w:rPr>
        <w:t xml:space="preserve">разработки, корректировки, осуществления мониторинга </w:t>
      </w:r>
    </w:p>
    <w:p w:rsidR="00F1656B" w:rsidRDefault="0011418C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8C">
        <w:rPr>
          <w:rFonts w:ascii="Times New Roman" w:hAnsi="Times New Roman" w:cs="Times New Roman"/>
          <w:b/>
          <w:sz w:val="24"/>
          <w:szCs w:val="24"/>
        </w:rPr>
        <w:t xml:space="preserve">и контроля реализации стратегии социально-экономического развития муниципального образования городского округа  </w:t>
      </w:r>
      <w:r w:rsidR="0037600D">
        <w:rPr>
          <w:rFonts w:ascii="Times New Roman" w:hAnsi="Times New Roman" w:cs="Times New Roman"/>
          <w:b/>
          <w:sz w:val="24"/>
          <w:szCs w:val="24"/>
        </w:rPr>
        <w:t>«</w:t>
      </w:r>
      <w:r w:rsidRPr="0011418C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»</w:t>
      </w:r>
      <w:r w:rsidRPr="00A75EDA">
        <w:rPr>
          <w:rFonts w:ascii="Times New Roman" w:hAnsi="Times New Roman" w:cs="Times New Roman"/>
          <w:b/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«</w:t>
      </w:r>
      <w:r w:rsidRPr="00A75EDA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»</w:t>
      </w:r>
      <w:r w:rsidR="001F720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B4C57" w:rsidRPr="00EB4C57" w:rsidRDefault="00EB4C57" w:rsidP="00EB4C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C57" w:rsidRPr="00D01AF5" w:rsidRDefault="00D01AF5" w:rsidP="00D01AF5">
      <w:pPr>
        <w:widowControl w:val="0"/>
        <w:numPr>
          <w:ilvl w:val="0"/>
          <w:numId w:val="8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5A426F" w:rsidRPr="00BE7EC7" w:rsidRDefault="005A426F" w:rsidP="00BF56FF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положений Федерального </w:t>
      </w:r>
      <w:r w:rsidR="00EB4C57" w:rsidRP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2014 года № 172-ФЗ «О стратегическом планировании в Российской Федерации»</w:t>
      </w:r>
      <w:r w:rsidR="00E3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E32B3B" w:rsidRPr="003B361F">
        <w:rPr>
          <w:rFonts w:ascii="Times New Roman" w:hAnsi="Times New Roman" w:cs="Times New Roman"/>
          <w:sz w:val="24"/>
          <w:szCs w:val="24"/>
        </w:rPr>
        <w:t>п</w:t>
      </w:r>
      <w:r w:rsidR="00E32B3B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экономики Республики Коми от 08 августа 2019 года №</w:t>
      </w:r>
      <w:r w:rsidR="001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3B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 «Об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 образований в Республике Коми»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правила </w:t>
      </w:r>
      <w:r w:rsidR="00EB4C57" w:rsidRPr="00EB4C57">
        <w:rPr>
          <w:rFonts w:ascii="Times New Roman" w:hAnsi="Times New Roman" w:cs="Times New Roman"/>
          <w:sz w:val="24"/>
          <w:szCs w:val="24"/>
        </w:rPr>
        <w:t>разработки, корректировки, осуществления</w:t>
      </w:r>
      <w:proofErr w:type="gramEnd"/>
      <w:r w:rsidR="00EB4C57" w:rsidRPr="00EB4C57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EB4C57" w:rsidRPr="00BE7EC7">
        <w:rPr>
          <w:rFonts w:ascii="Times New Roman" w:hAnsi="Times New Roman" w:cs="Times New Roman"/>
          <w:sz w:val="24"/>
          <w:szCs w:val="24"/>
        </w:rPr>
        <w:t xml:space="preserve">и контроля реализации </w:t>
      </w:r>
      <w:r w:rsidR="0093657E">
        <w:rPr>
          <w:rFonts w:ascii="Times New Roman" w:hAnsi="Times New Roman" w:cs="Times New Roman"/>
          <w:sz w:val="24"/>
          <w:szCs w:val="24"/>
        </w:rPr>
        <w:t>с</w:t>
      </w:r>
      <w:r w:rsidR="00EB4C57" w:rsidRPr="00BE7EC7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муниципального образования городского округа  «Вуктыл» (далее – Стратегия) и плана мероприятий по реализации </w:t>
      </w:r>
      <w:r w:rsidR="00BE7EC7" w:rsidRPr="00BE7EC7">
        <w:rPr>
          <w:rFonts w:ascii="Times New Roman" w:hAnsi="Times New Roman" w:cs="Times New Roman"/>
          <w:sz w:val="24"/>
          <w:szCs w:val="24"/>
        </w:rPr>
        <w:t>С</w:t>
      </w:r>
      <w:r w:rsidR="00EB4C57" w:rsidRPr="00BE7EC7">
        <w:rPr>
          <w:rFonts w:ascii="Times New Roman" w:hAnsi="Times New Roman" w:cs="Times New Roman"/>
          <w:sz w:val="24"/>
          <w:szCs w:val="24"/>
        </w:rPr>
        <w:t>тратегии (далее – План</w:t>
      </w:r>
      <w:r w:rsidR="00BE7EC7" w:rsidRPr="00BE7EC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EB4C57" w:rsidRPr="00BE7EC7">
        <w:rPr>
          <w:rFonts w:ascii="Times New Roman" w:hAnsi="Times New Roman" w:cs="Times New Roman"/>
          <w:sz w:val="24"/>
          <w:szCs w:val="24"/>
        </w:rPr>
        <w:t>)</w:t>
      </w:r>
      <w:r w:rsidRPr="00BE7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B6" w:rsidRDefault="002469DE" w:rsidP="002469DE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разрабатывается в соответствии </w:t>
      </w:r>
      <w:proofErr w:type="gramStart"/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562D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 Российской Федерации, в том числе </w:t>
      </w:r>
      <w:r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4A27B6"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Федерации, стратеги</w:t>
      </w:r>
      <w:r w:rsidR="00736D68"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развития Российской Федерации, отраслевы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 Российской Федерации, указ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указани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по важнейшим вопросам государственной политики и социально-экономического развития;</w:t>
      </w:r>
    </w:p>
    <w:p w:rsidR="001A27D4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9D700F"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Республики Коми, нормативны</w:t>
      </w:r>
      <w:r w:rsidR="009D700F"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Республики Коми, Правительства Республики Коми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27D4" w:rsidRP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 основные направления и цели социально-экономического развития Республики Коми;</w:t>
      </w:r>
    </w:p>
    <w:p w:rsidR="0059562D" w:rsidRDefault="004A27B6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«Вуктыл» и администрации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«Вуктыл», содержащи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и цели социально-экономического развития </w:t>
      </w:r>
      <w:r w:rsidR="0059562D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9562D"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7D4" w:rsidRDefault="001A27D4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статистики по муниципальному образованию </w:t>
      </w:r>
      <w:r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562D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осуществляющих деятельность на территории муниципального образования </w:t>
      </w:r>
      <w:r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</w:t>
      </w:r>
      <w:r w:rsidR="005A426F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11272" w:rsidRPr="00611272">
        <w:rPr>
          <w:rFonts w:ascii="Times New Roman" w:hAnsi="Times New Roman" w:cs="Times New Roman"/>
          <w:sz w:val="24"/>
          <w:szCs w:val="24"/>
        </w:rPr>
        <w:t xml:space="preserve">городского округа  «Вуктыл» </w:t>
      </w:r>
      <w:r w:rsidR="003469E0">
        <w:rPr>
          <w:rFonts w:ascii="Times New Roman" w:hAnsi="Times New Roman" w:cs="Times New Roman"/>
          <w:sz w:val="24"/>
          <w:szCs w:val="24"/>
        </w:rPr>
        <w:t xml:space="preserve">(далее – МОГО «Вуктыл») </w:t>
      </w:r>
      <w:r w:rsidR="005A426F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долгосрочный период.</w:t>
      </w:r>
    </w:p>
    <w:p w:rsidR="00611272" w:rsidRPr="004620B9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осуществляется отделом </w:t>
      </w:r>
      <w:r w:rsidR="0024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развитию экономики администрации городского округа «Вуктыл»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Уполномоченный орган) совместно со структурными подразделениями </w:t>
      </w:r>
      <w:r w:rsidR="00C20588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611272" w:rsidRPr="004620B9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 w:rsidR="00C20588" w:rsidRPr="004620B9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ее отраслевыми (функциональными) органами, муниципальными учреждениями </w:t>
      </w:r>
      <w:r w:rsidR="00A16813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«Вуктыл», Советом городского округа «Вуктыл»</w:t>
      </w:r>
      <w:r w:rsidR="004620B9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16813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62D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общественными и иными организациями, осуществляющими деятельность на территории </w:t>
      </w:r>
      <w:r w:rsidR="0093657E">
        <w:rPr>
          <w:rFonts w:ascii="Times New Roman" w:hAnsi="Times New Roman" w:cs="Times New Roman"/>
          <w:sz w:val="24"/>
          <w:szCs w:val="24"/>
        </w:rPr>
        <w:t>МОГО «Вуктыл»</w:t>
      </w:r>
      <w:r w:rsidR="003469E0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 w:rsidR="003469E0" w:rsidRPr="00001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Участники)</w:t>
      </w:r>
      <w:r w:rsidR="00611272" w:rsidRPr="00001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75EDA" w:rsidRDefault="00A75EDA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EDA" w:rsidRDefault="00A75EDA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53" w:rsidRDefault="00173C5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13" w:rsidRDefault="00A1681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разработке Стратегии также могут привлекаться государственные учреждения, расположенные на территории </w:t>
      </w:r>
      <w:r w:rsidR="004620B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объединения профсоюзов и работодателей, общественные, научные и иные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16813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69E0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предложений Участников разрабатывает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разработки Стратегии, предусматривающий, в том числе, общественное обсуждение проекта Стратегии, </w:t>
      </w:r>
      <w:r w:rsidR="00DC3CF5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</w:t>
      </w:r>
      <w:r w:rsidR="00A75EDA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необходимости)</w:t>
      </w:r>
      <w:r w:rsidR="00DC3CF5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сроки и ответственных исполнителей, а также</w:t>
      </w:r>
      <w:r w:rsidR="00DC3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по разработке проекта Стратеги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утверждаются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="00A16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разрабатывается на период, соответствующий периоду разработки </w:t>
      </w:r>
      <w:r w:rsid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 социально-экономического развития Республики Коми.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Стратегии обеспечивается постановка целей и задач Стратегии, не противоречащих содержанию документов стратегического планирования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 и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приоритетов, целей, задач социально-экономического развития в Стратегии осуществляется на основе проведенного SWOT-анализа, определения </w:t>
      </w:r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важнейших проблем и </w:t>
      </w:r>
      <w:proofErr w:type="gramStart"/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сопряженных с ними рисков развития </w:t>
      </w:r>
      <w:r w:rsidR="00DC6BFA" w:rsidRPr="003B361F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учетом возможностей и ограничений развития, ресурсного обеспечения и потенциала </w:t>
      </w:r>
      <w:r w:rsidR="00DC6BFA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долгосрочном периоде.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структуру Стратегии включаются: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часть, содержащая общие положения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включающий результаты анализа факторов социально-экономического развития </w:t>
      </w:r>
      <w:r w:rsidR="00DC6BFA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выявившего основные сильные и слабые стороны, возможности и угрозы, а также влияние (позитивное/негативное) основных политических, экономических, социальных и технологических факторов на социально-экономическое 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C6BFA" w:rsidRPr="008F475A">
        <w:rPr>
          <w:rFonts w:ascii="Times New Roman" w:hAnsi="Times New Roman" w:cs="Times New Roman"/>
          <w:sz w:val="24"/>
          <w:szCs w:val="24"/>
        </w:rPr>
        <w:t>МОГО «Вуктыл»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перспективны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сфер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возможны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CFC"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</w:t>
      </w:r>
      <w:r w:rsidR="00AA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</w:t>
      </w:r>
      <w:r w:rsidR="002C4CFC"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содержащий определенные на основе проведенного анализа социально-экономического развития приоритеты, цели и задачи социально-экономического развития </w:t>
      </w:r>
      <w:r w:rsidR="00DC3CF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содержащий основные направления социально-экономической политики </w:t>
      </w:r>
      <w:r w:rsidR="00DC3CF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(человеческий капитал, экономика, территория проживания, управление);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раздел, отражающий основные механизмы и источники ресурсного обеспечения реализации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разделы, включение которых представляется необходимым при разработке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(перечень муниципальных программ, обеспечивающих реализацию </w:t>
      </w:r>
      <w:r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Стратегии; целевые индикаторы/показатели (далее - Показатели); картографические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отражающие территориальное развитие </w:t>
      </w:r>
      <w:r w:rsidR="00544CAD">
        <w:rPr>
          <w:rFonts w:ascii="Times New Roman" w:hAnsi="Times New Roman" w:cs="Times New Roman"/>
          <w:sz w:val="24"/>
          <w:szCs w:val="24"/>
        </w:rPr>
        <w:t>МОГО «Вуктыл»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C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перечень крупных инвестиционных проектов </w:t>
      </w:r>
      <w:r w:rsidR="001868C0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к реализации; иные материалы и положения).</w:t>
      </w:r>
    </w:p>
    <w:p w:rsidR="00466C47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4A4E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D4A4E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Стратегии  определяется рабочей группой по разработке проекта Стратегии</w:t>
      </w:r>
      <w:r w:rsidR="00494AA0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приоритетами, определенными</w:t>
      </w:r>
      <w:r w:rsidR="009D4A4E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C47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стратегического планирования Российской Федерации, указами и указаниями Президента Российской Федерации по важнейшим вопросам государственной политики и со</w:t>
      </w:r>
      <w:r w:rsidR="001C2F50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циально-экономического развития, </w:t>
      </w:r>
      <w:r w:rsidR="00466C47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стратегией социально-экономического развития Республики Коми, нормативными правовыми актами Главы Республики Коми, Правительства Республики Коми, содержащими основные направления и цели социально-экономического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Республики Коми</w:t>
      </w:r>
      <w:r w:rsidR="000A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органов исполнительной</w:t>
      </w:r>
      <w:proofErr w:type="gramEnd"/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Республики Коми, 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Совета городского округа «Вуктыл» и </w:t>
      </w:r>
      <w:r w:rsidR="002469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содержащими основные направления и цели социально-экономического развития </w:t>
      </w:r>
      <w:r w:rsidR="00BE7EC7">
        <w:rPr>
          <w:rFonts w:ascii="Times New Roman" w:hAnsi="Times New Roman" w:cs="Times New Roman"/>
          <w:sz w:val="24"/>
          <w:szCs w:val="24"/>
        </w:rPr>
        <w:t>МОГО «Вуктыл»</w:t>
      </w:r>
      <w:r w:rsidR="00494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обеспечивает общественное обсуждение проекта Стратегии (проекта изменений в Стратегию) в срок, установленный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3708" w:rsidRPr="00F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общественных обсуждений проекта Стратегии и проекта Плана</w:t>
      </w:r>
      <w:r w:rsidR="001C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размещения в сети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информационной системе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для общественного обсуждения нормативных правовых актов Республики Коми и их проектов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3708" w:rsidRP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pravo.rkomi.ru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3CF5" w:rsidRDefault="00DC3C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предложения, поступившие в ходе общественного обсуждения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Стратегии (проекта изменений в Стратегию)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рассматриваются Уполномоченным органом, систематизируются и вместе с проектом Стратегии выносятся на публичные слушания.</w:t>
      </w:r>
    </w:p>
    <w:p w:rsidR="00DC3CF5" w:rsidRDefault="00DC3C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Стратегии проводятся в соответствии с порядком, определенным решением Совета городского округа «Вуктыл».</w:t>
      </w:r>
    </w:p>
    <w:p w:rsidR="00797CF3" w:rsidRPr="00797CF3" w:rsidRDefault="00797CF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F56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CF3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797CF3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(проект изменений в Стратегию) </w:t>
      </w:r>
      <w:r w:rsidRPr="00797CF3">
        <w:rPr>
          <w:rFonts w:ascii="Times New Roman" w:hAnsi="Times New Roman" w:cs="Times New Roman"/>
          <w:sz w:val="24"/>
          <w:szCs w:val="24"/>
        </w:rPr>
        <w:t xml:space="preserve">согласовывается Уполномоченным органом с заместителями руководителя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Pr="00797C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 главой МОГО «Вуктыл» - </w:t>
      </w:r>
      <w:r w:rsidRPr="00797CF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97CF3">
        <w:rPr>
          <w:rFonts w:ascii="Times New Roman" w:hAnsi="Times New Roman" w:cs="Times New Roman"/>
          <w:sz w:val="24"/>
          <w:szCs w:val="24"/>
        </w:rPr>
        <w:t xml:space="preserve">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Pr="00797CF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согласованности целей и задач Стратегии и стратегии социально-экономического развития Республики Коми Администрация направляет прое</w:t>
      </w:r>
      <w:proofErr w:type="gramStart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 (проект изменений в Стратегию) в Министерство экономики Республики Коми для согласования совместно с заинтересованными органами исполнительной власти Республики Коми.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Согласованный прое</w:t>
      </w:r>
      <w:proofErr w:type="gramStart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(проект изменений в Стратегию) в установленном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вносится Администрацией на рассмотрение </w:t>
      </w:r>
      <w:r w:rsidR="00596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(изменения в Стратегию) утверждается решением </w:t>
      </w:r>
      <w:r w:rsidR="00B35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со дня утверждения Стратегии (изменений в Стратегию):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(изменения в Стратегию) размещается на официальном сайте </w:t>
      </w:r>
      <w:r w:rsidR="00B3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предоставляется в Министерство экономики Республики Коми;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федерального сегмента государственной автоматизированной 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системы </w:t>
      </w:r>
      <w:r w:rsidR="00B35FCD"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B35FCD"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ФГАИС) в Министерство 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Российской Федерации направляется уведомление об утверждении Стратегии (изменений в Стратегию)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6A1069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Актуализация Стратегии осуществляется в случае внесения изменений в документы стратегического планирования федерального </w:t>
      </w:r>
      <w:r w:rsid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республиканского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уровня, при изменении факторов, оказывающих влияние на социально-экономическое развитие </w:t>
      </w:r>
      <w:r w:rsidR="00B35FCD">
        <w:rPr>
          <w:rFonts w:ascii="Times New Roman" w:hAnsi="Times New Roman" w:cs="Times New Roman"/>
          <w:sz w:val="24"/>
          <w:szCs w:val="24"/>
        </w:rPr>
        <w:t xml:space="preserve">МОГО </w:t>
      </w:r>
      <w:r w:rsidR="00B35FCD" w:rsidRPr="00723832">
        <w:rPr>
          <w:rFonts w:ascii="Times New Roman" w:hAnsi="Times New Roman" w:cs="Times New Roman"/>
          <w:sz w:val="24"/>
          <w:szCs w:val="24"/>
        </w:rPr>
        <w:t>«Вуктыл»</w:t>
      </w:r>
      <w:r w:rsidR="007F3770">
        <w:rPr>
          <w:rFonts w:ascii="Times New Roman" w:hAnsi="Times New Roman" w:cs="Times New Roman"/>
          <w:sz w:val="24"/>
          <w:szCs w:val="24"/>
        </w:rPr>
        <w:t>,</w:t>
      </w:r>
      <w:r w:rsidR="006A1069" w:rsidRPr="00723832">
        <w:rPr>
          <w:rFonts w:ascii="Times New Roman" w:hAnsi="Times New Roman" w:cs="Times New Roman"/>
          <w:sz w:val="24"/>
          <w:szCs w:val="24"/>
        </w:rPr>
        <w:t xml:space="preserve"> и иным обоснованным причинам</w:t>
      </w:r>
      <w:r w:rsidR="005A426F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26F" w:rsidRPr="0070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разрабатывается на основе положений утвержденной Стратегии на период ее реализации по 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согласно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3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14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мероприятий включаются этапы реализации Стратегии, комплекс мероприятий и перечень муниципальных программ, обеспечивающих достижение на каждом этапе реализации Стратегии долгосрочных целей социально-экономического </w:t>
      </w:r>
      <w:r w:rsidR="005A426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D0570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570" w:rsidRPr="001973AE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Стратегии, цели и задачи социально-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2D0570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приоритетные для каждого этапа реализации стратегии </w:t>
      </w:r>
      <w:r w:rsidR="009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реализации Стратегии и их значения, установленные для каждого этапа реализации Стратегии.</w:t>
      </w:r>
      <w:proofErr w:type="gramEnd"/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Плане мероприятий Показатели указываются в соответствии с утвержденными Показателями Стратегии на начало текущего года и не подлежат уточнению/изменению в течение текущего года.</w:t>
      </w:r>
    </w:p>
    <w:p w:rsidR="00284EFB" w:rsidRDefault="00797CF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обеспечивает общественное обсуждение проекта Плана </w:t>
      </w:r>
      <w:r w:rsidR="005A426F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срок, установленный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проведения общественных обсуждений проекта Стратегии и проекта Плана</w:t>
      </w:r>
      <w:r w:rsidR="001C22E8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 постановлением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путем размещения в сети «Интернет» на официальном сайте городского округа «Вуктыл» и в государственной информационной системе «Интернет-портал для общественного обсуждения нормативных правовых актов Республики Коми и их проектов» </w:t>
      </w:r>
      <w:r w:rsidR="00284EFB" w:rsidRP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pravo.rkomi.ru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A426F" w:rsidRDefault="00D01AF5" w:rsidP="00797CF3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BF56FF">
        <w:rPr>
          <w:sz w:val="24"/>
          <w:szCs w:val="24"/>
          <w:lang w:eastAsia="ru-RU"/>
        </w:rPr>
        <w:t>2</w:t>
      </w:r>
      <w:r w:rsidR="005A426F">
        <w:rPr>
          <w:sz w:val="24"/>
          <w:szCs w:val="24"/>
          <w:lang w:eastAsia="ru-RU"/>
        </w:rPr>
        <w:t xml:space="preserve">. </w:t>
      </w:r>
      <w:r w:rsidR="00797CF3" w:rsidRPr="00E1697C">
        <w:rPr>
          <w:sz w:val="24"/>
          <w:szCs w:val="24"/>
        </w:rPr>
        <w:t xml:space="preserve">Проект Плана мероприятий </w:t>
      </w:r>
      <w:r w:rsidR="00797CF3">
        <w:rPr>
          <w:sz w:val="24"/>
          <w:szCs w:val="24"/>
          <w:lang w:eastAsia="ru-RU"/>
        </w:rPr>
        <w:t xml:space="preserve">(изменения в План мероприятий) </w:t>
      </w:r>
      <w:r w:rsidR="00797CF3" w:rsidRPr="00E1697C">
        <w:rPr>
          <w:sz w:val="24"/>
          <w:szCs w:val="24"/>
        </w:rPr>
        <w:t xml:space="preserve">согласовывается Уполномоченным органом с </w:t>
      </w:r>
      <w:r w:rsidR="00797CF3">
        <w:rPr>
          <w:sz w:val="24"/>
          <w:szCs w:val="24"/>
        </w:rPr>
        <w:t xml:space="preserve">заместителями руководителя </w:t>
      </w:r>
      <w:r w:rsidR="007F3770">
        <w:rPr>
          <w:sz w:val="24"/>
          <w:szCs w:val="24"/>
        </w:rPr>
        <w:t>А</w:t>
      </w:r>
      <w:r w:rsidR="00797CF3">
        <w:rPr>
          <w:sz w:val="24"/>
          <w:szCs w:val="24"/>
        </w:rPr>
        <w:t>дминистрации и</w:t>
      </w:r>
      <w:r w:rsidR="005A426F">
        <w:rPr>
          <w:sz w:val="24"/>
          <w:szCs w:val="24"/>
          <w:lang w:eastAsia="ru-RU"/>
        </w:rPr>
        <w:t xml:space="preserve"> утверждается </w:t>
      </w:r>
      <w:r w:rsidR="00284EFB">
        <w:rPr>
          <w:sz w:val="24"/>
          <w:szCs w:val="24"/>
          <w:lang w:eastAsia="ru-RU"/>
        </w:rPr>
        <w:t>постановлением</w:t>
      </w:r>
      <w:r w:rsidR="005A426F">
        <w:rPr>
          <w:sz w:val="24"/>
          <w:szCs w:val="24"/>
          <w:lang w:eastAsia="ru-RU"/>
        </w:rPr>
        <w:t xml:space="preserve"> Администрации.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со дня утверждения Администрация: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Показатели Плана мероприятий в единую автоматизированную информационно-аналитическую систему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деятельности органов исполнительной власти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(далее - ЕИАС);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План мероприятий (изменения в План мероприятий) на официальном 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предоставляет его в Министерство экономики Республики Коми посредством системы электронного документооборота;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ФГАИС в Министерство экономического развития Российской Федерации направляется уведомление об утверждении Плана мероприятий (изменения в План мероприятий)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Плана мероприятий осуществляется после актуализации Стратегии, на основании которой он был разработан, а также при изменении условий реализации планируемых мероприятий (внешних и внутренних факторов), снижающих результативность и эффективность планируемых мероприятий.</w:t>
      </w:r>
    </w:p>
    <w:p w:rsidR="005A426F" w:rsidRDefault="005A426F" w:rsidP="005A426F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6F" w:rsidRDefault="00C518FC" w:rsidP="0003475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A4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проведения мониторинга и контроля</w:t>
      </w:r>
      <w:r w:rsidR="00034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4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Стратегии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мониторинга и контроля реализации Стратегии является повышение эффективности функционирования системы стратегического планирования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3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осуществляемого на основе комплексной оценки основных социально-экономических и финансовых показателей, результатов реализации мероприятий, содержащихся в документах стратегического планирования </w:t>
      </w:r>
      <w:r w:rsidR="00162E4F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повышение эффективности деятельности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162E4F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Мониторинг и контроль реализации Стратегии осуществляется на основании анализа реализации Плана мероприятий.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9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 Плана мероприятий осуществляется Уполномоченн</w:t>
      </w:r>
      <w:r w:rsidR="006F31A0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Администрации,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отраслевыми (функциональными) органами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участниками реализации Плана мероприятий (далее - Ответственные исполнители) в установленном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и на основе: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официального статистического наблюдения;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федеральных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оценки эффективности муниципальных программ (ведомственных целевых программ);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отчетной информации, представляемой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Администрации,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отраслевыми (функциональными) органами, муниципальными и государственными учреждениями, расположенными на территории </w:t>
      </w:r>
      <w:r w:rsidR="00FD40A7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органами исполнительной власти Республики Коми в соответствии с их сферой ведения.</w:t>
      </w:r>
      <w:proofErr w:type="gramEnd"/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"/>
      <w:bookmarkEnd w:id="1"/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Ответственные исполнители</w:t>
      </w:r>
      <w:r w:rsidR="00C007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</w:t>
      </w:r>
      <w:r w:rsidR="00853035" w:rsidRPr="001973AE">
        <w:rPr>
          <w:rFonts w:ascii="Times New Roman" w:hAnsi="Times New Roman" w:cs="Times New Roman"/>
          <w:sz w:val="24"/>
          <w:szCs w:val="24"/>
        </w:rPr>
        <w:t>до 1</w:t>
      </w:r>
      <w:r w:rsidR="00723832" w:rsidRPr="001973AE">
        <w:rPr>
          <w:rFonts w:ascii="Times New Roman" w:hAnsi="Times New Roman" w:cs="Times New Roman"/>
          <w:sz w:val="24"/>
          <w:szCs w:val="24"/>
        </w:rPr>
        <w:t>0</w:t>
      </w:r>
      <w:r w:rsidR="00E3605D" w:rsidRPr="001973A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53035" w:rsidRPr="001973AE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годом</w:t>
      </w:r>
      <w:r w:rsidR="00DD4DC2" w:rsidRPr="001973AE">
        <w:rPr>
          <w:rFonts w:ascii="Times New Roman" w:hAnsi="Times New Roman" w:cs="Times New Roman"/>
          <w:sz w:val="24"/>
          <w:szCs w:val="24"/>
        </w:rPr>
        <w:t>,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в Уполномоченн</w:t>
      </w:r>
      <w:r w:rsidR="00DD3ED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ходе реализации Плана мероприятий по курируемым направлениям, отраслям и сферам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осуществляемым на территории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содержать: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 результатах выполнения мероприятий и достижени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значений Показателей за отчетный год;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достигнутого уровня Показателей за отчетный год по отношению к уровню базового года, по отношению к уровню предшествующего года и по сравнению с запланированными значениями, описание тенденций развития на следующие отчетные периоды;</w:t>
      </w:r>
      <w:proofErr w:type="gramEnd"/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исполнения мероприятий с указанием причин в случае неисполнения мероприятий и необходимых мер для обеспечения реализации запланированных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анализ использованных в реализации Плана </w:t>
      </w:r>
      <w:r w:rsidR="00BE7EC7"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BE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механизмов и мероприятий: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планирования и управления (муниципальные программы, инвестиционные проекты);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 (ресурсное обеспечение реализации мероприятий Плана мероприятий по бюджетным и внебюджетным источникам);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регулирования (разработка правовых актов, регламентация предоставления муниципальных услуг);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информационно-коммуникационного обеспечения (создание информационных систем, обеспечивающих взаимодействие Администрации, общества и бизнеса, организация взаимодействия с общественными организациями, проведение общественных слушаний, выступления в СМИ, работа в общественных приемных, с обращениями граждан);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об организациях, деятельность которых вносит наиболее значительный вклад в социально-экономическое развитие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динамику развития по отрасли или сферы;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выявление проблем, анализ факторов, оказывающих влияние на реализацию Плана мероприятий в части исполнения мероприятий и достижения целевых значений Показателей;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выводы о степени достижения стратегических целей, мероприятий и Показателей, а также, при необходимости, предложения по корректировке документов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</w:t>
      </w:r>
      <w:r w:rsidR="00C00735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</w:t>
      </w:r>
      <w:r w:rsidR="001168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 и информаций, указанных в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3 и </w:t>
      </w:r>
      <w:hyperlink w:anchor="Par54" w:history="1">
        <w:r w:rsidR="00116839" w:rsidRPr="001973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23832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7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</w:t>
      </w:r>
      <w:r w:rsidR="008530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035" w:rsidRPr="001973AE">
        <w:rPr>
          <w:rFonts w:ascii="Times New Roman" w:hAnsi="Times New Roman" w:cs="Times New Roman"/>
          <w:sz w:val="24"/>
          <w:szCs w:val="24"/>
        </w:rPr>
        <w:t>1 мая года, следующего за отчетным</w:t>
      </w:r>
      <w:r w:rsidR="00853035" w:rsidRPr="00853035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853035">
        <w:rPr>
          <w:rFonts w:ascii="Times New Roman" w:hAnsi="Times New Roman" w:cs="Times New Roman"/>
          <w:sz w:val="24"/>
          <w:szCs w:val="24"/>
        </w:rPr>
        <w:t>,</w:t>
      </w:r>
      <w:r w:rsidR="00C00735"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ежегодный годовой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/доклад о ходе выполнения Плана мероприятий (далее - Годовой отчет).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Годовой отчет содержит: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таблицу о результатах исполнения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 о достижении плановых значений Показателей за отчетный год;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аналитическую записку (далее - аналитическая записка), содержащую конкретные выводы по реализации Стратегии в целом и по каждому из разделов по основным направлениям социально-экономической политики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 w:rsidR="0011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(человеческий капитал, экономика, территория проживания, управление):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запланированных на отчетный год мероприятий, степени их выполнения (в %) и причинах невыполнения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количестве запланированных Показателей, степени их достижения, причинах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значений Показателей;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наиболее значимых достигнутых результатах социально-экономического развития </w:t>
      </w:r>
      <w:r w:rsidR="00C0073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возможных рисках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утвержденных Показателей на плановый период;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необходимых мерах по корректировке основных направлений деятельности Администрации, способствующих повышению эффективности решения задач социально-экономического развития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функционирования системы стратегического планирования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Результаты мониторинга реализации Плана мероприятий, содержащиеся в Годовом отчете, отражаются в ежегодном отчете главы </w:t>
      </w:r>
      <w:r w:rsidR="00BE7EC7" w:rsidRPr="001973AE">
        <w:rPr>
          <w:rFonts w:ascii="Times New Roman" w:hAnsi="Times New Roman" w:cs="Times New Roman"/>
          <w:sz w:val="24"/>
          <w:szCs w:val="24"/>
        </w:rPr>
        <w:t xml:space="preserve">МОГО «Вуктыл» - руководителя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="00BE7EC7" w:rsidRPr="001973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своей деятельности.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Ежегодно в срок до 15 июня года, следующего за отчетным,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Годовой отчет на официальном сайте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447693">
        <w:rPr>
          <w:rFonts w:ascii="Times New Roman" w:hAnsi="Times New Roman" w:cs="Times New Roman"/>
          <w:sz w:val="24"/>
          <w:szCs w:val="24"/>
        </w:rPr>
        <w:t>«Вуктыл»</w:t>
      </w:r>
      <w:r w:rsidR="00D9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вносит его в ЕИАС.</w:t>
      </w: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BF" w:rsidRDefault="00431EB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6F" w:rsidRDefault="005A426F" w:rsidP="005A426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6F" w:rsidRDefault="005A426F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BF" w:rsidRDefault="00431E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431EBF" w:rsidSect="00431EBF">
          <w:pgSz w:w="11905" w:h="16838"/>
          <w:pgMar w:top="851" w:right="567" w:bottom="851" w:left="284" w:header="720" w:footer="720" w:gutter="0"/>
          <w:cols w:space="720"/>
          <w:noEndnote/>
        </w:sectPr>
      </w:pPr>
    </w:p>
    <w:p w:rsidR="00121BF7" w:rsidRDefault="00121BF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  <w:r w:rsidR="00CF02F0">
        <w:rPr>
          <w:rFonts w:ascii="Times New Roman" w:hAnsi="Times New Roman" w:cs="Times New Roman"/>
          <w:caps/>
          <w:sz w:val="24"/>
          <w:szCs w:val="24"/>
        </w:rPr>
        <w:t>а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00E3A" w:rsidRPr="00C00E3A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00E3A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2019 года № </w:t>
      </w:r>
      <w:r w:rsidR="00C00E3A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00E3A">
        <w:rPr>
          <w:rFonts w:ascii="Times New Roman" w:hAnsi="Times New Roman" w:cs="Times New Roman"/>
          <w:sz w:val="24"/>
          <w:szCs w:val="24"/>
          <w:u w:val="single"/>
        </w:rPr>
        <w:t>1552</w:t>
      </w:r>
    </w:p>
    <w:p w:rsidR="00121BF7" w:rsidRDefault="00121BF7" w:rsidP="00121BF7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CF02F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02F0" w:rsidRDefault="00CF02F0" w:rsidP="00121BF7">
      <w:pPr>
        <w:spacing w:after="0" w:line="240" w:lineRule="auto"/>
        <w:ind w:firstLine="10632"/>
        <w:jc w:val="center"/>
      </w:pPr>
      <w:r w:rsidRPr="00102028">
        <w:rPr>
          <w:rFonts w:ascii="Times New Roman" w:hAnsi="Times New Roman" w:cs="Times New Roman"/>
          <w:sz w:val="24"/>
          <w:szCs w:val="24"/>
        </w:rPr>
        <w:t>ФОРМА</w:t>
      </w:r>
    </w:p>
    <w:p w:rsidR="00121BF7" w:rsidRDefault="00121BF7" w:rsidP="00C208FA">
      <w:pPr>
        <w:widowControl w:val="0"/>
        <w:autoSpaceDE w:val="0"/>
        <w:autoSpaceDN w:val="0"/>
        <w:spacing w:after="0" w:line="2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BF7" w:rsidRPr="00572C74" w:rsidRDefault="00121BF7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</w:t>
      </w:r>
    </w:p>
    <w:p w:rsidR="00121BF7" w:rsidRDefault="00121BF7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реализации </w:t>
      </w:r>
      <w:r w:rsidR="00E04B2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тратегии социально-экономического развития </w:t>
      </w:r>
      <w:r w:rsidR="00572C74"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</w:p>
    <w:p w:rsidR="00C208FA" w:rsidRDefault="00C208FA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(далее – Стратегия)</w:t>
      </w:r>
    </w:p>
    <w:p w:rsidR="00572C74" w:rsidRPr="007E552A" w:rsidRDefault="00572C74" w:rsidP="00BE7EC7">
      <w:pPr>
        <w:widowControl w:val="0"/>
        <w:autoSpaceDE w:val="0"/>
        <w:autoSpaceDN w:val="0"/>
        <w:spacing w:after="0" w:line="1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2C74" w:rsidRPr="00572C74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572C74">
        <w:rPr>
          <w:b w:val="0"/>
          <w:bCs w:val="0"/>
          <w:lang w:eastAsia="ru-RU"/>
        </w:rPr>
        <w:t xml:space="preserve">    1.  Показатели  реализации  Стратегии  и их значения, установленные для каждого этапа реализации Стратегии, по форме:</w:t>
      </w:r>
    </w:p>
    <w:tbl>
      <w:tblPr>
        <w:tblW w:w="15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80"/>
        <w:gridCol w:w="1021"/>
        <w:gridCol w:w="993"/>
        <w:gridCol w:w="991"/>
        <w:gridCol w:w="993"/>
        <w:gridCol w:w="993"/>
        <w:gridCol w:w="990"/>
        <w:gridCol w:w="1277"/>
        <w:gridCol w:w="1415"/>
        <w:gridCol w:w="2270"/>
      </w:tblGrid>
      <w:tr w:rsidR="007E552A" w:rsidRPr="00572C74" w:rsidTr="00C208FA">
        <w:trPr>
          <w:trHeight w:val="491"/>
        </w:trPr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7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в соответствии с</w:t>
            </w:r>
            <w:r w:rsidR="00B20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Стратегией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0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приоритетным направлением социально-экономической политики </w:t>
            </w:r>
            <w:r w:rsidRPr="0057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городского округа «Вуктыл</w:t>
            </w:r>
            <w:r w:rsidRPr="00572C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этап</w:t>
            </w:r>
            <w:r w:rsidR="00C2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(20__ г. - 20__ г.)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этап</w:t>
            </w:r>
            <w:r w:rsidR="00C2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(20__ г. - 20__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D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предоставление информации о фактическом значении</w:t>
            </w:r>
          </w:p>
        </w:tc>
      </w:tr>
      <w:tr w:rsidR="007E552A" w:rsidRPr="00572C74" w:rsidTr="00C208FA">
        <w:trPr>
          <w:trHeight w:val="365"/>
        </w:trPr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572C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2C74" w:rsidRPr="007E552A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7E552A">
        <w:rPr>
          <w:b w:val="0"/>
          <w:bCs w:val="0"/>
          <w:lang w:eastAsia="ru-RU"/>
        </w:rPr>
        <w:t xml:space="preserve">    2.  Комплекс  мероприятий,  обеспечивающих  достижение  на каждом этапе реализации  Стратегии  долгосрочных  целей и задач социально-экономического</w:t>
      </w:r>
      <w:r w:rsidR="007E552A">
        <w:rPr>
          <w:b w:val="0"/>
          <w:bCs w:val="0"/>
          <w:lang w:eastAsia="ru-RU"/>
        </w:rPr>
        <w:t xml:space="preserve"> </w:t>
      </w:r>
      <w:r w:rsidRPr="007E552A">
        <w:rPr>
          <w:b w:val="0"/>
          <w:bCs w:val="0"/>
          <w:lang w:eastAsia="ru-RU"/>
        </w:rPr>
        <w:t>развития, указанных в Стратегии, по форме:</w:t>
      </w: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961"/>
        <w:gridCol w:w="1984"/>
        <w:gridCol w:w="2410"/>
        <w:gridCol w:w="2127"/>
      </w:tblGrid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решение задач Стратегии и достижение целевого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A10C4F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Стратегии, на который направлено мероприятие, и/или ожидаемый результат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A10C4F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 (этап, годы)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2C74" w:rsidRPr="00572C74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eastAsia="ru-RU"/>
        </w:rPr>
      </w:pPr>
      <w:r w:rsidRPr="00572C74">
        <w:rPr>
          <w:b w:val="0"/>
          <w:bCs w:val="0"/>
          <w:sz w:val="20"/>
          <w:szCs w:val="20"/>
          <w:lang w:eastAsia="ru-RU"/>
        </w:rPr>
        <w:t xml:space="preserve">    &lt;1&gt; Показатель определяется в соответствии с задачей и направлением</w:t>
      </w:r>
    </w:p>
    <w:sectPr w:rsidR="00572C74" w:rsidRPr="00572C74" w:rsidSect="00431EBF">
      <w:pgSz w:w="16838" w:h="11905" w:orient="landscape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2C" w:rsidRDefault="002F062C">
      <w:pPr>
        <w:spacing w:after="0" w:line="240" w:lineRule="auto"/>
      </w:pPr>
      <w:r>
        <w:separator/>
      </w:r>
    </w:p>
  </w:endnote>
  <w:endnote w:type="continuationSeparator" w:id="0">
    <w:p w:rsidR="002F062C" w:rsidRDefault="002F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2C" w:rsidRDefault="002F062C">
      <w:pPr>
        <w:spacing w:after="0" w:line="240" w:lineRule="auto"/>
      </w:pPr>
      <w:r>
        <w:separator/>
      </w:r>
    </w:p>
  </w:footnote>
  <w:footnote w:type="continuationSeparator" w:id="0">
    <w:p w:rsidR="002F062C" w:rsidRDefault="002F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341E27A7"/>
    <w:multiLevelType w:val="hybridMultilevel"/>
    <w:tmpl w:val="BE52FEBC"/>
    <w:lvl w:ilvl="0" w:tplc="04B0139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D7C69"/>
    <w:multiLevelType w:val="hybridMultilevel"/>
    <w:tmpl w:val="8E909BDA"/>
    <w:lvl w:ilvl="0" w:tplc="6AF6E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0C4A3E"/>
    <w:multiLevelType w:val="multilevel"/>
    <w:tmpl w:val="D90E70E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29210A7"/>
    <w:multiLevelType w:val="hybridMultilevel"/>
    <w:tmpl w:val="BA90B64E"/>
    <w:lvl w:ilvl="0" w:tplc="0E588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696B1F"/>
    <w:multiLevelType w:val="hybridMultilevel"/>
    <w:tmpl w:val="8C422900"/>
    <w:lvl w:ilvl="0" w:tplc="62108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DA"/>
    <w:rsid w:val="00001C8D"/>
    <w:rsid w:val="000135ED"/>
    <w:rsid w:val="00024A33"/>
    <w:rsid w:val="00034755"/>
    <w:rsid w:val="00046A08"/>
    <w:rsid w:val="00085F7A"/>
    <w:rsid w:val="000A0BD1"/>
    <w:rsid w:val="000A174C"/>
    <w:rsid w:val="000A6513"/>
    <w:rsid w:val="000D0500"/>
    <w:rsid w:val="000F2C0F"/>
    <w:rsid w:val="000F43C5"/>
    <w:rsid w:val="00102028"/>
    <w:rsid w:val="0011418C"/>
    <w:rsid w:val="00116839"/>
    <w:rsid w:val="00120513"/>
    <w:rsid w:val="00121BF7"/>
    <w:rsid w:val="001526CA"/>
    <w:rsid w:val="001577BA"/>
    <w:rsid w:val="00162E4F"/>
    <w:rsid w:val="001663AA"/>
    <w:rsid w:val="00173C53"/>
    <w:rsid w:val="001868C0"/>
    <w:rsid w:val="001973AE"/>
    <w:rsid w:val="001A27D4"/>
    <w:rsid w:val="001C22E8"/>
    <w:rsid w:val="001C2F50"/>
    <w:rsid w:val="001D3708"/>
    <w:rsid w:val="001D65B1"/>
    <w:rsid w:val="001D7C7C"/>
    <w:rsid w:val="001E5208"/>
    <w:rsid w:val="001F720A"/>
    <w:rsid w:val="00213C25"/>
    <w:rsid w:val="00227208"/>
    <w:rsid w:val="002469DE"/>
    <w:rsid w:val="00260F08"/>
    <w:rsid w:val="00261286"/>
    <w:rsid w:val="00284EFB"/>
    <w:rsid w:val="002C4CFC"/>
    <w:rsid w:val="002D0570"/>
    <w:rsid w:val="002E2043"/>
    <w:rsid w:val="002E2945"/>
    <w:rsid w:val="002F062C"/>
    <w:rsid w:val="002F13BB"/>
    <w:rsid w:val="003105D9"/>
    <w:rsid w:val="00312E1F"/>
    <w:rsid w:val="00331680"/>
    <w:rsid w:val="00336D5C"/>
    <w:rsid w:val="003469E0"/>
    <w:rsid w:val="0037600D"/>
    <w:rsid w:val="003A7F61"/>
    <w:rsid w:val="003B361F"/>
    <w:rsid w:val="003C4422"/>
    <w:rsid w:val="003D7BED"/>
    <w:rsid w:val="003F4975"/>
    <w:rsid w:val="003F5BC6"/>
    <w:rsid w:val="00431EBF"/>
    <w:rsid w:val="00447693"/>
    <w:rsid w:val="00450CE7"/>
    <w:rsid w:val="004620B9"/>
    <w:rsid w:val="00463686"/>
    <w:rsid w:val="00466C47"/>
    <w:rsid w:val="00472C94"/>
    <w:rsid w:val="00473864"/>
    <w:rsid w:val="00481DFA"/>
    <w:rsid w:val="004916FE"/>
    <w:rsid w:val="00494AA0"/>
    <w:rsid w:val="004A27B6"/>
    <w:rsid w:val="004F46BF"/>
    <w:rsid w:val="005031FD"/>
    <w:rsid w:val="00525F67"/>
    <w:rsid w:val="00530999"/>
    <w:rsid w:val="00544CAD"/>
    <w:rsid w:val="00572C74"/>
    <w:rsid w:val="005734FD"/>
    <w:rsid w:val="0059301F"/>
    <w:rsid w:val="0059562D"/>
    <w:rsid w:val="005961B7"/>
    <w:rsid w:val="005A426F"/>
    <w:rsid w:val="005A6558"/>
    <w:rsid w:val="005E2A4B"/>
    <w:rsid w:val="005E36C3"/>
    <w:rsid w:val="005E666E"/>
    <w:rsid w:val="005F2EC6"/>
    <w:rsid w:val="00611272"/>
    <w:rsid w:val="00614BD6"/>
    <w:rsid w:val="00615928"/>
    <w:rsid w:val="00633664"/>
    <w:rsid w:val="00661060"/>
    <w:rsid w:val="00672334"/>
    <w:rsid w:val="006A1069"/>
    <w:rsid w:val="006D1896"/>
    <w:rsid w:val="006F31A0"/>
    <w:rsid w:val="00700BAC"/>
    <w:rsid w:val="00723832"/>
    <w:rsid w:val="007351FC"/>
    <w:rsid w:val="00735B46"/>
    <w:rsid w:val="00736D68"/>
    <w:rsid w:val="007413D3"/>
    <w:rsid w:val="00797CF3"/>
    <w:rsid w:val="007A0737"/>
    <w:rsid w:val="007C2885"/>
    <w:rsid w:val="007D712B"/>
    <w:rsid w:val="007E552A"/>
    <w:rsid w:val="007F3770"/>
    <w:rsid w:val="00806695"/>
    <w:rsid w:val="00824158"/>
    <w:rsid w:val="00827333"/>
    <w:rsid w:val="00853035"/>
    <w:rsid w:val="008836DD"/>
    <w:rsid w:val="008E4A63"/>
    <w:rsid w:val="008F475A"/>
    <w:rsid w:val="009027CA"/>
    <w:rsid w:val="0091225C"/>
    <w:rsid w:val="0093657E"/>
    <w:rsid w:val="00945147"/>
    <w:rsid w:val="009457D0"/>
    <w:rsid w:val="0098220C"/>
    <w:rsid w:val="009C5177"/>
    <w:rsid w:val="009D4A4E"/>
    <w:rsid w:val="009D700F"/>
    <w:rsid w:val="009E54FC"/>
    <w:rsid w:val="00A10C4F"/>
    <w:rsid w:val="00A16813"/>
    <w:rsid w:val="00A16BDA"/>
    <w:rsid w:val="00A31237"/>
    <w:rsid w:val="00A62AA6"/>
    <w:rsid w:val="00A755F5"/>
    <w:rsid w:val="00A75EDA"/>
    <w:rsid w:val="00A76651"/>
    <w:rsid w:val="00A76D86"/>
    <w:rsid w:val="00A854E4"/>
    <w:rsid w:val="00AA76D9"/>
    <w:rsid w:val="00AD3AFA"/>
    <w:rsid w:val="00B11E2E"/>
    <w:rsid w:val="00B206E9"/>
    <w:rsid w:val="00B35FCD"/>
    <w:rsid w:val="00B44A78"/>
    <w:rsid w:val="00B8569D"/>
    <w:rsid w:val="00B9238C"/>
    <w:rsid w:val="00BA1A50"/>
    <w:rsid w:val="00BD5709"/>
    <w:rsid w:val="00BD64DD"/>
    <w:rsid w:val="00BE7EC7"/>
    <w:rsid w:val="00BF56FF"/>
    <w:rsid w:val="00C00735"/>
    <w:rsid w:val="00C00E3A"/>
    <w:rsid w:val="00C20588"/>
    <w:rsid w:val="00C208FA"/>
    <w:rsid w:val="00C42B74"/>
    <w:rsid w:val="00C518FC"/>
    <w:rsid w:val="00C72FD4"/>
    <w:rsid w:val="00C73D22"/>
    <w:rsid w:val="00C94B08"/>
    <w:rsid w:val="00CB3E8A"/>
    <w:rsid w:val="00CB6652"/>
    <w:rsid w:val="00CF02F0"/>
    <w:rsid w:val="00CF5AF3"/>
    <w:rsid w:val="00D01AF5"/>
    <w:rsid w:val="00D024FE"/>
    <w:rsid w:val="00D460F5"/>
    <w:rsid w:val="00D53240"/>
    <w:rsid w:val="00D949B7"/>
    <w:rsid w:val="00D96B02"/>
    <w:rsid w:val="00DC3CF5"/>
    <w:rsid w:val="00DC6BFA"/>
    <w:rsid w:val="00DD3EDF"/>
    <w:rsid w:val="00DD4DC2"/>
    <w:rsid w:val="00E03273"/>
    <w:rsid w:val="00E04B2A"/>
    <w:rsid w:val="00E32B3B"/>
    <w:rsid w:val="00E3605D"/>
    <w:rsid w:val="00E3759C"/>
    <w:rsid w:val="00E5389D"/>
    <w:rsid w:val="00E77A96"/>
    <w:rsid w:val="00E84653"/>
    <w:rsid w:val="00E87E23"/>
    <w:rsid w:val="00E9410C"/>
    <w:rsid w:val="00EB4C57"/>
    <w:rsid w:val="00ED6E0D"/>
    <w:rsid w:val="00EE1567"/>
    <w:rsid w:val="00EF492A"/>
    <w:rsid w:val="00EF4F45"/>
    <w:rsid w:val="00F1656B"/>
    <w:rsid w:val="00F204D7"/>
    <w:rsid w:val="00F51B73"/>
    <w:rsid w:val="00F54464"/>
    <w:rsid w:val="00F723BD"/>
    <w:rsid w:val="00F72562"/>
    <w:rsid w:val="00F8365B"/>
    <w:rsid w:val="00FB1B5A"/>
    <w:rsid w:val="00FC6F3B"/>
    <w:rsid w:val="00FD40A7"/>
    <w:rsid w:val="00FD6CDA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357EA03BC0EE0B940399A3FC38F2CB2A278DFFE2FF6293FAA8DDE07955167F089108D94843B6A6063A650554AD5240EANA0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357EA03BC0EE0B940387AEEA54ACCF2E24D4F2E0F76DCDA5F5DBB72605102A5AD156801B02FDAB0321790552NB0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357EA03BC0EE0B940387AEEA54ACCF2F2ED7F2E5FB6DCDA5F5DBB72605102A5AD156801B02FDAB0321790552NB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B0BF-13FE-4090-A046-6B9A281F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9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21957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Рогозина</dc:creator>
  <cp:lastModifiedBy>User</cp:lastModifiedBy>
  <cp:revision>115</cp:revision>
  <cp:lastPrinted>2019-11-06T12:38:00Z</cp:lastPrinted>
  <dcterms:created xsi:type="dcterms:W3CDTF">2019-07-25T11:54:00Z</dcterms:created>
  <dcterms:modified xsi:type="dcterms:W3CDTF">2019-12-09T20:41:00Z</dcterms:modified>
</cp:coreProperties>
</file>