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C8D" w:rsidRPr="005C2C8D" w:rsidRDefault="005C2C8D" w:rsidP="005C2C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6B22" w:rsidRPr="00216B22" w:rsidRDefault="00216B22" w:rsidP="0021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16B22" w:rsidRPr="00216B22" w:rsidRDefault="00216B22" w:rsidP="0021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216B22" w:rsidRPr="00216B22" w:rsidRDefault="00216B22" w:rsidP="0021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03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216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16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511</w:t>
      </w:r>
    </w:p>
    <w:p w:rsidR="00216B22" w:rsidRPr="00216B22" w:rsidRDefault="00216B22" w:rsidP="0021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216B22" w:rsidRPr="00216B22" w:rsidTr="0055759D">
        <w:tc>
          <w:tcPr>
            <w:tcW w:w="9322" w:type="dxa"/>
          </w:tcPr>
          <w:p w:rsidR="00216B22" w:rsidRPr="00216B22" w:rsidRDefault="00216B22" w:rsidP="00216B22">
            <w:pPr>
              <w:tabs>
                <w:tab w:val="left" w:pos="40"/>
                <w:tab w:val="left" w:pos="5640"/>
                <w:tab w:val="left" w:pos="712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466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 подготовке проектов документов территориального планирования и градостроительного зонирования: проект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ов</w:t>
            </w:r>
            <w:r w:rsidRPr="00565466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генерального  плана и правил землепользования и застройки городского округа «Вуктыл» </w:t>
            </w:r>
          </w:p>
        </w:tc>
      </w:tr>
    </w:tbl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устойчивого развития территории муниципального  образования городского округа «Вуктыл», сохранения окружающей среды и объектов культурного наследия, создания условий для планировки территорий городского округа,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разрешенного использования земельных участков и объектов капитального строительства, руководствуясь пунктом 2 статьи 24, пунктом 5 статьи 31 Градостроительного кодекса Российской Федерации, Федеральным закона от 06 октября 2003 года № 131-ФЗ «Об общих принципах  организации местного самоуправления в Российской Федерации», Уставом муниципального образования городского округа «Вуктыл» постановляю:  </w:t>
      </w:r>
    </w:p>
    <w:p w:rsidR="00565466" w:rsidRPr="00565466" w:rsidRDefault="00565466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проекты документов территориального планирования и градостроительного зонирования:</w:t>
      </w:r>
      <w:r w:rsidR="008317F3" w:rsidRP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F3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317F3" w:rsidRP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F3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плана</w:t>
      </w:r>
      <w:r w:rsidR="008317F3" w:rsidRP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17F3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городского округа «Вуктыл».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подготовке проектов генерального плана и правил землепользования и застройки муниципального образования городского округа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 1</w:t>
      </w:r>
      <w:r w:rsidRPr="0056546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 комиссии по подготовке проектов генерального плана и правил землепользования и застройки муниципального образования городского округа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согласно приложению № 2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положение о комиссии по подготовке проектов генерального плана и правил землепользования и застройки муниципального образования городского округа «Вуктыл» согласно приложению № 3.</w:t>
      </w:r>
    </w:p>
    <w:p w:rsidR="004777FD" w:rsidRPr="008317F3" w:rsidRDefault="00565466" w:rsidP="008317F3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порядок направления в комиссию по подготовке проекта генерального плана городского округа «Вуктыл» и  правил землепользования и застройки городского округа «Вуктыл» предложений заинтересованных лиц по подготовке проекта генерального плана городского округа «Вуктыл» и  правил землепользования и застройки городского округа «Вуктыл»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035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порядок и сроки проведения работ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утверждению проектов генерального плана и правил землепользования и застройки муниципального образования городского округа «Вуктыл» согласно приложению №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6546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Настоящее постановление подлежит официальному опубликованию (обнародованию).</w:t>
      </w:r>
    </w:p>
    <w:p w:rsidR="00565466" w:rsidRPr="00565466" w:rsidRDefault="00565466" w:rsidP="00565466">
      <w:pPr>
        <w:widowControl w:val="0"/>
        <w:tabs>
          <w:tab w:val="left" w:pos="993"/>
        </w:tabs>
        <w:autoSpaceDE w:val="0"/>
        <w:autoSpaceDN w:val="0"/>
        <w:adjustRightInd w:val="0"/>
        <w:spacing w:after="64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  </w:t>
      </w:r>
      <w:proofErr w:type="gramStart"/>
      <w:r w:rsidRPr="00565466">
        <w:rPr>
          <w:rFonts w:ascii="Times New Roman" w:eastAsia="Times New Roman" w:hAnsi="Times New Roman" w:cs="Courier New"/>
          <w:sz w:val="24"/>
          <w:szCs w:val="20"/>
          <w:lang w:eastAsia="ru-RU"/>
        </w:rPr>
        <w:t>Контроль за</w:t>
      </w:r>
      <w:proofErr w:type="gramEnd"/>
      <w:r w:rsidRPr="00565466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  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В.Н. Крисанов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22" w:rsidRDefault="00216B22" w:rsidP="00435B04">
      <w:pPr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435B04">
      <w:pPr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565466" w:rsidRPr="00565466" w:rsidRDefault="00565466" w:rsidP="00565466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  городского округа «Вуктыл»</w:t>
      </w:r>
    </w:p>
    <w:p w:rsidR="00565466" w:rsidRPr="00565466" w:rsidRDefault="00565466" w:rsidP="00565466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10/511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</w:p>
    <w:p w:rsidR="00565466" w:rsidRDefault="00565466">
      <w:pPr>
        <w:rPr>
          <w:rFonts w:ascii="Times New Roman" w:hAnsi="Times New Roman" w:cs="Times New Roman"/>
          <w:sz w:val="20"/>
          <w:szCs w:val="20"/>
        </w:rPr>
      </w:pPr>
    </w:p>
    <w:p w:rsidR="00565466" w:rsidRDefault="00565466" w:rsidP="0056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65466" w:rsidRPr="00565466" w:rsidRDefault="00565466" w:rsidP="00435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проектов генерального плана и правил землепользования и застройки муниципального образования городского округа «Вуктыл»</w:t>
      </w:r>
    </w:p>
    <w:p w:rsid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</w:pPr>
    </w:p>
    <w:p w:rsidR="00565466" w:rsidRPr="00565466" w:rsidRDefault="00606224" w:rsidP="00565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="00565466" w:rsidRPr="0056546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Настоящее 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подготовке проектов генерального плана и правил землепользования и застройки муниципального образования городского округа «Вуктыл» (далее – положение)</w:t>
      </w:r>
      <w:r w:rsidR="00565466" w:rsidRPr="0056546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включает в себя подготовку: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плана, в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работ по подготовке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(далее – проект генерального плана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24 Градостроительного кодекса Российской Федерации;</w:t>
      </w:r>
    </w:p>
    <w:p w:rsidR="00565466" w:rsidRPr="00565466" w:rsidRDefault="00B37475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землепользования и застройки, в которо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работ по подготовке проекта правил землепользования и застройки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(далее – проект ПЗЗ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статьей 31 Градостроительного кодекса Российской Федерации.</w:t>
      </w:r>
    </w:p>
    <w:p w:rsidR="00565466" w:rsidRPr="00565466" w:rsidRDefault="00606224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444444"/>
          <w:sz w:val="24"/>
          <w:szCs w:val="24"/>
          <w:lang w:eastAsia="ru-RU"/>
        </w:rPr>
        <w:t>2.</w:t>
      </w:r>
      <w:r w:rsidR="00565466" w:rsidRPr="00565466">
        <w:rPr>
          <w:rFonts w:ascii="Times New Roman" w:eastAsia="Times New Roman" w:hAnsi="Times New Roman" w:cs="Arial"/>
          <w:color w:val="444444"/>
          <w:sz w:val="24"/>
          <w:szCs w:val="24"/>
          <w:lang w:eastAsia="ru-RU"/>
        </w:rPr>
        <w:t xml:space="preserve">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устанавливает требования к составу, порядку подготовки, согласования, утверждения и внесения изменений в документы территориального планирования и градостроительного зонирования муниципального образования городского округа «Вуктыл», а также составу, порядку подготовки планов реализации документов.</w:t>
      </w:r>
    </w:p>
    <w:p w:rsidR="00565466" w:rsidRPr="00565466" w:rsidRDefault="00606224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генерального плана осуществляется в соответствии с требованиями </w:t>
      </w:r>
      <w:hyperlink r:id="rId9" w:history="1">
        <w:r w:rsidR="00565466" w:rsidRPr="00565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</w:hyperlink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565466" w:rsidRPr="00565466" w:rsidRDefault="00565466" w:rsidP="005654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Документы территориального планирования и градостроительного зонирования</w:t>
      </w:r>
    </w:p>
    <w:p w:rsidR="00565466" w:rsidRPr="00565466" w:rsidRDefault="00565466" w:rsidP="0056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Документом территориального планирования муниципального образования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 генеральны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план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округа;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зонирования муниципального образования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III</w:t>
      </w:r>
      <w:r w:rsidRPr="005654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генерального плана</w:t>
      </w:r>
      <w:r w:rsidR="0060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Подготовка генерального плана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применительно ко все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поселения и деревни,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Подготовка генерального плана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применительно к отдельным населенным пунктам, входящим в состав округа,  с последующим внесением в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изменений, относящихся к другим частям территорий городского округа. Подготовка генерального плана и внесение в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95AD2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части установления или изменения границы населенного пункта могут также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осуществляться применительно к отдельным населенным пунктам, входящим в состав городского округа.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Генеральные планы включают в себя карты (схемы) планируемого размещения объектов капитального строительства местного значения, в том числе: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электро</w:t>
      </w:r>
      <w:proofErr w:type="gramStart"/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 в границах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пользования, мостов и иных транспортных инженерных сооружений в границах населенных пунктов, входящих в состав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объектов, размещение которых необходимо для осуществления полномочий органов местного самоуправления поселения.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Генеральные планы содержат положения о территориальном планировании и соответствующие карты (схемы).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Положения о территориальном планировании, содержащиеся в генеральных планах, включают в себя: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территориального планирования;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по территориальному планированию и указание на последовательность их выполнения.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картах (схемах), содержащихся в генеральных планах, отображаются: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населенных пунктов, входящих в состав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земель сельскохозяйственного назначения, границы земель для обеспечения космической деятельности,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существующие и планируемые границы земель промышленности, энергетики, транспорта, связи;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функциональных зон с отображением параметров планируемого развития таких зон;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территорий объектов культурного наследия;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зон с особыми условиями использования территорий;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земельных участков, которые предоставлены для размещения объектов капитального строительства федерального, регионального или местного значения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регионального или местного значения;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территорий, подверженных риску возникновения чрезвычайных ситуаций природного и техногенного характера и воздействия их последствий;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зон инженерной и транспортной инфраструктур.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(схем).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Материалы по обоснованию проектов генеральных планов в текстовой форме включают в себя: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состояния соответствующей территории, проблем и направлений ее комплексного развития;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вариантов решения задач территориального планирования;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по территориальному планированию;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предложений по территориальному планированию, этапы их реализации;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основных факторов риска возникновения чрезвычайных ситуаций природного и техногенного характера.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картах (схемах) в составе материалов по обоснованию проектов генеральных планов отображаются: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состоянии соответствующей территории, возможных направлениях ее развития и об ограничениях ее использования;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территориальному планированию.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Указанная в пункте 9.1 раздела II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 информация отображается на следующих картах (схемах):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использования территории муниципального образования с отображением границ земель различных категорий, иной информации об использовании соответствующей территории;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ограничений, утверждаемые в составе схем территориального планирования Российской Федерации, схем территориального планирования Республики Коми, схем территориального планирования муниципальных районов (в случае подготовки генеральных планов поселений), в том числе карты (схемы) границ территорий объектов культурного наследия, карты (схемы) границ зон с особыми условиями использования территорий, карты (схемы) границ территорий, подверженных риску возникновения чрезвычайных ситуаций природного и техногенного характера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карты (схемы) границ </w:t>
      </w:r>
      <w:proofErr w:type="gramStart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негативного воздействия объектов капитального строительства местного значения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размещения таких объектов;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с отображением результатов анализа комплексного развития территории и размещения объектов капитального строительства местного значения, в том числе с учетом результатов инженерных изысканий;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карты (схемы).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Указанные в пункте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9.2 раздела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отображаются на картах (схемах), которые используются для внесения в них изменений при согласовании проектов генеральных планов и включают в себя: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планируемых границ функциональных зон с отображением параметров планируемого развития таких зон;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с отображением </w:t>
      </w:r>
      <w:proofErr w:type="gramStart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планируемого размещения объектов капитального строительства местного значения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планируемых границ территорий, документация по планировке которых подлежит разработке в первоочередном порядке;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существующих и планируемых границ земель промышленности, энергетики, транспорта, связи;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карты (схемы).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B37475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Подготовка и утверждение генерального плана </w:t>
      </w:r>
      <w:r w:rsidR="00495AD2" w:rsidRPr="00B3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B37475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Генеральный план округа, в том числе внесение изменений в такой план, утверждаются  Советом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 подготовке проекта генерального плана, а также решения о подготовке предложений о внесении в генеральный план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принимаются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проекта генерального плана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результатов инженерных изысканий в соответствии с требованиями технических регламентов, с учетом комплексных программ развития муниципальных образований,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Республики Коми, схеме территориального планирования муниципального района (при подготовке генерального плана поселения), региональных и (или) местных нормативов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градостроительного проектирования, результатов публичных слушаний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на территории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генерального плана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утверждения подлежит обязательному согласованию в соответствии с разделом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 генерального плана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его утверждения и размещается на официальном сайте администрации гор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«Вуктыл» в сети «Интернет»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Опубликованию и размещению подлежат проект положений о территориальном планировании, предусмотренных  пунктом 5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оложения, и проекты карты (схемы) или нескольких карт (схем), на которых отображена информация, предусмотренная  пунктом 6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Заинтересованные лица вправе представить свои предложения по проекту генерального плана.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генерального плана подлежит обязательному рассмотрению на публичных слушаниях, проводимых в соответствии с Градостроительным кодексом Российской Федерации.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руководителем администрации городского округа «Вуктыл» в Совет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городского округа «Вуктыл»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руководителю администрации городского округа «Вуктыл» на доработку в соответствии с указанными протоколами и заключением.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 администрации городского округа «Вуктыл» в сети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Опубликованию и размещению подлежат положения, предусмотренные  пунктом 5 раздела 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оложения, и проекты карты (схемы) или нескольких карт (схем), на которых отображена информация, предусмотренная  пунктом 6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его утверждения направляется в Правительство Республики Коми и администрации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порядке.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Органы государственной власти Российской Федерации, органы государственной власти Республики Коми, органы местного самоуправления, заинтересованные физические и юридические лица вправе обращаться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с предложениями о внесении изменений в генеральный план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Внесение изменений в генеральный план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пунктами  2 - 14  раздела IV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Внесение в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Особенности согласования проекта генерального плана </w:t>
      </w:r>
      <w:r w:rsidR="0049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поселения подлежит согласованию в порядке, установленном уполномоченным Правительством Российской Федерации федеральным органом исполнительной власти, в случае, если предложения, содержащиеся в таком проекте,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фонда, границ земель особо охраняемых природных территорий федерального значения, границ земель обороны и безопасности, границ земельных участков, находящихся в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Российской Федерации, границ территорий объектов культурного наследия, границ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планируемого размещения объектов капитального строительства федерального значения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Согласованию также подлежат вопросы размещения объектов капитального строительства местного значения, которые могут оказать негативное воздействие на окружающую среду на указанных землях, территориях и земельных участках.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округа подлежит согласованию с Правительством Республики Коми, в случае, если предложения, содержащиеся в указанном проекте, предполагают изменение существующих или в соответствии со схемой территориального планирования Республики Коми планируемых границ земель сельскохозяйственного назначения, границ земель особо охраняемых природных территорий регионального значения, границ земельных участков, находящихся в собственности Республики Коми, границ территорий объектов культурного наследия, границ зон планируемого размещения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регионального значения. Согласованию также подлежат вопросы размещения объектов капитального строительства местного значения, которые могут оказать негативное воздействие на окружающую среду на территории Республики Коми.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округа подлежит согласованию с заинтересованными органами местного самоуправления муниципальных образований, имеющих общую границу с округом, в целях соблюдения интересов населения муниципальных образований при установлении зон с особыми условиями использования территорий, зон планируемого размещения объектов капитального строительства местного значения, которые могут оказать негативное воздействие на окружающую среду на территориях таких муниципальных образований.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вопросы, кроме указанных в пунктах 1 – 4 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рассматриваться при согласовании проекта генерального плана.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5.Уполномоченный федеральный орган исполнительной власти в случаях, установленных Правительством Российской Федерации, направляет представленный на согласование проект генерального плана округа на государственную экспертизу, осуществляемую в порядке, предусмотренном статьей 29 Градостроительного кодекса Российской Федерации.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согласования проекта генерального плана составляет три месяца со дня направления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на согласование проекта генерального плана в Правительство Республики Коми.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поступления в установленный срок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заключений на проект генерального плана от указанных в пункте 6 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органов данный проект считается согласованным с такими органами.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Заключения на проект генерального плана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содержать положения о согласии с таким проектом или несогласии с таким проектом с обоснованием причин такого решения.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от одного или нескольких указанных в пункте 6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органов заключений, содержащих положения о несогласии с проектом генерального плана с обоснованием принятого решения, 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в течение тридцати дней со дня истечения установленного срока согласования проекта генерального плана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создании согласительной комиссии.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работы согласительной комиссии не может превышать три месяца.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результатам работы согласительная комиссия представляет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«Вуктыл»: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 текстовой форме и в виде карт (схем) по несогласованным вопросам.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10.Указанные в пункте 9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могут содержать: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(схеме) в целях фиксации несогласованных вопросов до момента их согласования);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согласования указанных в пункте 9.1  раздела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вопросов после утверждения генерального плана путем подготовки предложений о внесении в такой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изменений.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основании документов и материалов, представленных согласительной комиссией, 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вправе принять решение о направлении согласованного или не согласованного в определенной части проекта генерального плана в Совет городского окр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«Вуктыл» или об отклонении такого проекта и о направлении его на доработку.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Реализация генерального плана </w:t>
      </w:r>
      <w:r w:rsidR="0049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генер</w:t>
      </w:r>
      <w:r w:rsidR="0049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ального плана 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осуществляется путем выполнения мероприятий, которые предусмотрены программами, утвержденными администрацией городского округа</w:t>
      </w:r>
      <w:r w:rsidR="00E41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реализуемыми за счет средств местного бюджета, или нормативными правовыми актами администрации городского округа</w:t>
      </w:r>
      <w:r w:rsidR="00E41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 установленном администрацией городского округа порядке решениями главных распорядителей средств местного бюджета, программами комплексного развития систем коммунальной инфраструктуры городских округов, программами комплексного развития транспортной инфраструктуры городских округов, программами</w:t>
      </w:r>
      <w:proofErr w:type="gramEnd"/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комплексного развития социальной инфраструктуры городских округов и (при наличии) инвестиционными программами организаций коммунального комплекса.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495AD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подготовки </w:t>
      </w:r>
      <w:r w:rsidR="0049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ПЗЗ округа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частям территории поселения), порядка и сроков проведения работ по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положений, касающихся организации указанных работ.</w:t>
      </w:r>
      <w:proofErr w:type="gramEnd"/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Одновременно с принятием решения 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состав и порядок деятельности комиссии по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</w:t>
      </w:r>
    </w:p>
    <w:p w:rsidR="00565466" w:rsidRPr="00565466" w:rsidRDefault="00E41DF2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городского округа «Вуктыл»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95AD2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 истечении десяти дней от даты принятия решения о подготовке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информации. Сообщение о принятии решения может размещаться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сообщении о принятии решения 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="00495AD2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 и порядок деятельности комиссии;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градостроительного зонирования муниципального образования городского округа «Вуктыл»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порядок и сроки проведения работ по подготовке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порядок направления в комиссию предложений заинтересованных лиц по подготовке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вопросы организации работ.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осуществляет проверку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="00921B1D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 технических регламентов, генеральному плану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схеме территориального Республики Коми.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результатам проверки, указанной в пункте 2.5 настоящего раздела, комиссия направляет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городского округа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случае обнаружения его несоответствия требованиям и документам, указанным в пункте 2.5 настоящего раздела на доработку разработчикам проекта.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Глава городского округа «Вуктыл» при получении от комиссии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проведении публичных слушаний по такому проекту.</w:t>
      </w:r>
    </w:p>
    <w:p w:rsidR="00565466" w:rsidRPr="00565466" w:rsidRDefault="00565466" w:rsidP="005654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публичных слушаний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утверждения подлежит обязательному рассмотрению на публичных слушаниях.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по проекту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комиссией по подготовке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Глава городского округа «Вуктыл» при получении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прошедшего соответствующую проверку, принимает решение о проведении публичных слушаний по такому проекту в срок не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десять дней со дня получения проекта.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Продолжительность публичных слушаний по проекту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не менее двух и не более четырех месяцев со дня опубликования такого проекта.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внесение изменений в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размещением или реконструкцией отдельного объекта капитального строительства, публичные слушания по внесению изменений в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направляет извещения о проведении публичных слушаний по проекту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с особыми условиями использования территорий. Указанные извещения направляются в срок не позднее чем через пятнадцать дней со дня принятия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Pr="005654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проведении публичных слушаний по предложениям о внесении изменений в проект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завершения публичных слушаний по проекту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составляет заключение о результатах публичных слушании и, в случае необходимости, с учетом результатов публичных слушаний обеспечивает внесение изменений в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указанный проект главе. Обязательными приложениями к проекту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протоколы публичных слушаний и заключение о результатах публичных слушаний.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«Вуктыл», в течение десяти дней после представления проекта правил землепользования и застройки и указанных в пункте 7 обязательных приложений, долж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направлении указанного проекта в Совет городского округа «Вуктыл» или об отклонении проекта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направлении его на доработку с указанием даты его повторного представления.</w:t>
      </w:r>
      <w:proofErr w:type="gramEnd"/>
    </w:p>
    <w:p w:rsidR="00565466" w:rsidRPr="00565466" w:rsidRDefault="00565466" w:rsidP="005654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утверждения </w:t>
      </w:r>
      <w:r w:rsidR="008A29C0" w:rsidRPr="008A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ПЗЗ округа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r w:rsidR="008A29C0" w:rsidRP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Советом городского округа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Совет городского округа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проекта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обязательных приложений к нему может утвердить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направить проект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  на доработку в соответствии с результатами публичных слушаний по указанному проекту.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городского округа» Вуктыл» в сети 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Физические и юридические лица вправе оспорить решение об утверждении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Органы государственной власти Российской Федерации, Республики Коми вправе оспорить решение об утверждении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в случае несоответствия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Федерации, а также схеме территориального планирования Российской Федерации, схеме территориального планирования Республики Коми, утвержденным до утверждения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Default="00565466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9C0" w:rsidRDefault="008A29C0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9C0" w:rsidRPr="008A29C0" w:rsidRDefault="008A29C0" w:rsidP="008A2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6"/>
      </w:tblGrid>
      <w:tr w:rsidR="008A29C0" w:rsidRPr="008A29C0" w:rsidTr="008A29C0">
        <w:tc>
          <w:tcPr>
            <w:tcW w:w="4754" w:type="dxa"/>
            <w:shd w:val="clear" w:color="auto" w:fill="auto"/>
          </w:tcPr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3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2016 года № </w:t>
            </w:r>
            <w:r w:rsidR="0043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10/511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9C0" w:rsidRPr="008A29C0" w:rsidRDefault="008A29C0" w:rsidP="008A29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 </w:t>
      </w:r>
    </w:p>
    <w:p w:rsidR="008A29C0" w:rsidRPr="008A29C0" w:rsidRDefault="008A29C0" w:rsidP="008A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комиссии </w:t>
      </w:r>
      <w:r w:rsidRPr="008A29C0"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 xml:space="preserve">по подготовке </w:t>
      </w:r>
      <w:r w:rsidRPr="008A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проектов документов </w:t>
      </w:r>
      <w:r w:rsidR="00FE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генерального плана</w:t>
      </w:r>
      <w:r w:rsidRPr="008A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FE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 и застройки</w:t>
      </w:r>
      <w:r w:rsidRPr="008A29C0">
        <w:rPr>
          <w:rFonts w:ascii="Times New Roman" w:eastAsia="Times New Roman" w:hAnsi="Times New Roman" w:cs="Times New Roman"/>
          <w:b/>
          <w:color w:val="5A6167"/>
          <w:sz w:val="24"/>
          <w:szCs w:val="24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городского округа «Вуктыл»</w:t>
      </w:r>
    </w:p>
    <w:tbl>
      <w:tblPr>
        <w:tblpPr w:leftFromText="180" w:rightFromText="180" w:vertAnchor="text" w:horzAnchor="margin" w:tblpY="1"/>
        <w:tblW w:w="97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313"/>
        <w:gridCol w:w="7109"/>
      </w:tblGrid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FE10C7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В.Н.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FE10C7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Бузуляк О.Б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22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городского округа «Вуктыл», председатель комиссии;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городского округа «Вуктыл», заместитель председателя комиссии;</w:t>
            </w:r>
          </w:p>
        </w:tc>
      </w:tr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4237ED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29C0"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евкина Е.И.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22705D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архитектор администрации городского округа «Вуктыл»; секретарь комиссии;</w:t>
            </w:r>
          </w:p>
        </w:tc>
      </w:tr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Н.Ш.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Коренцова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Кобзаренко Н.Н.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В.Н.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Коврижных  В.Н.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FE10C7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29C0"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строительства, дорожного и городского хозяйства администрации городского округа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управ</w:t>
            </w:r>
            <w:r w:rsidR="00751DD3">
              <w:rPr>
                <w:rFonts w:ascii="Times New Roman" w:eastAsia="Calibri" w:hAnsi="Times New Roman" w:cs="Times New Roman"/>
                <w:sz w:val="24"/>
                <w:szCs w:val="24"/>
              </w:rPr>
              <w:t>лению имуществом городского окр</w:t>
            </w: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отдела</w:t>
            </w:r>
            <w:r w:rsidRPr="008A29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правового обеспечения администрации городского округа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сектором </w:t>
            </w:r>
            <w:r w:rsidRPr="00F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управлению земельными участками</w:t>
            </w:r>
            <w:r w:rsidRPr="008A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администрации городского округа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A29C0" w:rsidRPr="008A29C0" w:rsidRDefault="008A29C0" w:rsidP="008A29C0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  <w:r w:rsidRPr="008A29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Вуктыльского</w:t>
            </w:r>
            <w:proofErr w:type="spellEnd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сектора </w:t>
            </w:r>
            <w:proofErr w:type="spellStart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Ухтинского</w:t>
            </w:r>
            <w:proofErr w:type="spellEnd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отдела Управления </w:t>
            </w:r>
            <w:proofErr w:type="spellStart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Росреестра</w:t>
            </w:r>
            <w:proofErr w:type="spellEnd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по Республике Коми (г. Вуктыл) (по согласованию)</w:t>
            </w:r>
            <w:r w:rsidRPr="008A29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</w:tc>
      </w:tr>
      <w:tr w:rsidR="008A29C0" w:rsidRPr="008A29C0" w:rsidTr="0022705D">
        <w:trPr>
          <w:trHeight w:val="671"/>
        </w:trPr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Коренцова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Геревич</w:t>
            </w:r>
            <w:proofErr w:type="spellEnd"/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FE10C7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</w:t>
            </w:r>
            <w:r w:rsidR="008A29C0"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8A29C0"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«Вуктыл»; 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4237ED" w:rsidP="008A2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по работе с территориями администрации городского округа «Вуктыл»;</w:t>
            </w:r>
          </w:p>
          <w:p w:rsidR="008A29C0" w:rsidRPr="008A29C0" w:rsidRDefault="008A29C0" w:rsidP="008A2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В.Г.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Т.В.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 Р.Х.</w:t>
            </w:r>
          </w:p>
          <w:p w:rsidR="008A29C0" w:rsidRP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DD3" w:rsidRPr="008A29C0" w:rsidRDefault="00751DD3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А.Г.</w:t>
            </w:r>
          </w:p>
          <w:p w:rsidR="008A29C0" w:rsidRP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DD3" w:rsidRDefault="00751DD3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Вуктыльского городского Комитета по охране окружающей среды (по согласованию);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7ED" w:rsidRPr="008A29C0" w:rsidRDefault="008A29C0" w:rsidP="0042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751DD3">
              <w:rPr>
                <w:rFonts w:ascii="Times New Roman" w:eastAsia="Calibri" w:hAnsi="Times New Roman" w:cs="Times New Roman"/>
                <w:sz w:val="24"/>
                <w:szCs w:val="24"/>
              </w:rPr>
              <w:t>отдела культуры и социальной политики администрации  городского округа «Вуктыл»;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Республике Коми в г. Ухте (по согласованию);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Начальник отдела по делам гражданской обороны и чрезвычайным ситуациям администрации городского округа «Вуктыл»</w:t>
            </w:r>
            <w:r w:rsidR="0022705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 </w:t>
            </w:r>
          </w:p>
        </w:tc>
      </w:tr>
    </w:tbl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Pr="0022705D" w:rsidRDefault="0022705D" w:rsidP="00435B04">
      <w:pPr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2705D" w:rsidRPr="0022705D" w:rsidRDefault="0022705D" w:rsidP="0022705D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  городского округа «Вуктыл»</w:t>
      </w:r>
    </w:p>
    <w:p w:rsidR="0022705D" w:rsidRPr="0022705D" w:rsidRDefault="0022705D" w:rsidP="0022705D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5B04" w:rsidRPr="00216B2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г. № </w:t>
      </w:r>
      <w:r w:rsidR="00435B04" w:rsidRPr="00216B22">
        <w:rPr>
          <w:rFonts w:ascii="Times New Roman" w:eastAsia="Times New Roman" w:hAnsi="Times New Roman" w:cs="Times New Roman"/>
          <w:sz w:val="24"/>
          <w:szCs w:val="24"/>
          <w:lang w:eastAsia="ru-RU"/>
        </w:rPr>
        <w:t>10/511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подготовке проектов документов генерального плана и правил землепользования и застройки муниципального образования городского округа «Вуктыл»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1.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подготовке проектов генерального плана и правил землепользования и застройки город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«Вуктыл» (далее – 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 создается в целях подготовки проекта генерального плана городского округа «Вуктыл» (далее - проект генерального плана) и проекта правил землепользования и застройки городского округа «Ву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тыл» (далее – проект правил), а также для подготовки предложений о внесении изменений в генеральный план и правила землепользования и застройки городского округа</w:t>
      </w:r>
      <w:proofErr w:type="gram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и рассмотрения таких предложений, поступающих от органов государственной власти, органов местного самоуправления, физических и юридических лиц.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2. Комиссия в своей деятельности руководствуется законодательством Российской Федерации, законами  Республики Коми,  иными нормативными актами Республики Коми и муниципального образования городского округа «Вуктыл», а также настоящим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п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оложением.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Заседания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проводятся по мере необходимости, а в период подготовки проекта генерального плана и проекта правил - не реже одного раза в месяц.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правомочно,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 заседания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фиксируется протоколом, который подписывают председатель комиссии, секретарь комиссии и все присутствующие на заседании члены Комиссии. В случае если любой из членов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высказывает особое мнение по предмету обсуждения, запись об этом вносится в протокол.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6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. Комиссия осуществляет свою деятельность в течение всего периода подготовки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генерального плана и проекта правил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до момента их утверждения Советом городского округа «Вуктыл».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Courier New" w:eastAsia="Times New Roman" w:hAnsi="Courier New" w:cs="Courier New"/>
          <w:color w:val="5A6167"/>
          <w:sz w:val="20"/>
          <w:szCs w:val="20"/>
          <w:lang w:eastAsia="ru-RU"/>
        </w:rPr>
        <w:tab/>
      </w:r>
      <w:r w:rsidR="00751DD3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7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. Комиссия образуется в составе председателя комиссии, заместителя комиссии, секретаря комиссии и членов комиссии. Состав комиссии формируется из работников администрации городского округа «Вуктыл» и  по согласованию иных органов и организаций.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Заседания комиссии ведет ее председатель, в случае отсутствия председателя - заместитель председателя комиссии.</w:t>
      </w:r>
    </w:p>
    <w:p w:rsidR="0022705D" w:rsidRPr="0022705D" w:rsidRDefault="00751DD3" w:rsidP="0022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Заседания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 проходят по адресу: </w:t>
      </w:r>
      <w:proofErr w:type="gramStart"/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Коми, г. Вуктыл, ул. Комсомольская, д. 14, зал заседаний администрации городского округа «Вуктыл».</w:t>
      </w:r>
      <w:proofErr w:type="gramEnd"/>
    </w:p>
    <w:p w:rsidR="0022705D" w:rsidRPr="0022705D" w:rsidRDefault="00751DD3" w:rsidP="0022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осуществляет администрация городского округа «Вуктыл».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Комиссия осуществляет следующие функции: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содействия проектной организации при подготовке проекта гене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плана и проекта правил;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проектной организацией проекта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генерального плана и проекта правил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проекта генерального плана и проекта правил, представленных проектной организацией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в установленном порядке публичных слушаний по проекту генерального плана и проекту правил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DD3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заключений по результатам публичных слушаний. 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предложений и обращений по вопросам, связанным с разработкой проекта генерального плана и проекта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доработки проекта генерального плана и проекта правил по результатам публичных слушаний и согласования (при необходимости). 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предложений о внесении изменений в гене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ральный план и правила землеполь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застройки и рассмотрения таких предложений, поступающих от органов государственной власти, органов местного самоуправления, физических и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9)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беспечивает гласность при подготовке решений по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 генерального плана и проектами правил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опубликовывает результаты публичных слушаний.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10)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риглашает для выслушивания  мнения по существу вопроса по согласованию руководителей предприятий и организаций, осуществляющих свою деятельность на территории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городского округа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«Вуктыл»,  руководителей территориальных органов исполнительной власти в Республике Коми.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11) з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апрашивает у государственных органов, органов местного самоуправления и организаций необходимую информацию, иные материалы, относящиеся к рассматриваемым на заседаниях вопросам.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Председатель комиссии: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уководит и кон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тролирует деятельность комиссии;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2) р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аспределяет обязанности между 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ленами комиссии;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3) ведет заседания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4) у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твер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ждает план мероприятий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5) о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бобщает внесенные замечания, предложения и дополнения к проектам, ставит на голосование для выработки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для внесения в протокол;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6)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носит дополнения в план мероприятий в целях решения вопросов, возникающ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 в ходе деятельности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7)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ребует своевременного выполнения членами комиссии решений, принятых на заседаниях комиссии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8)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нимает с обсуждения вопросы, не касающиеся повестки дня,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утвержденной планом мероприятий, а также замечания, предложения и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дополнения, с которыми не ознакомлены члены комиссии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9)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ает поручения членам комиссии для доработки (подготовки) документов (материалов), необходимых для разработки проектов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10) п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ривлекает других специалистов для разъяснения вопросов, рассматриваемых членами комиссии при разработке проектов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11) с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озывает в случае необходимости внеочередное заседание комиссии.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Секретарь комиссии: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едет протокол заседания комиссии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 документации (арх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ив) по рассматриваемым вопросам;</w:t>
      </w:r>
    </w:p>
    <w:p w:rsidR="0022705D" w:rsidRPr="0022705D" w:rsidRDefault="00995074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беспечивает подготовку материалов для расс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мотрения на заседаниях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3)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редставляет протокол для подписания председателю комиссии и направляет всем членам комиссии для ознакомления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звещает всех членов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 о дате внеочередного заседания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Ведет учет документации (архив) по рассматриваемому вопросу.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Члены Комиссии: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бязаны принимать участие в разработке плана мероприятий комиссии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995074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  <w:t>2)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частвуют в обсуждении и голосовании рассматриваемых вопросов на заседаниях комиссии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995074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воевременно выполняют все поручения председателя комиссии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ысказывают замечания предложения, дополнения в письменном или устном виде, касающиеся основных положений проекта генерального плана и проекта правил со ссылкой на конкретные статьи законов, кодексов Российской Федерации и законов Республики Коми и другие обоснованные обстоятельства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5)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ысказывают особое мнение с обязательным внесением его в протокол заседания.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  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Итоги каждого заседания оформляются протоколом, который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подписывается председателем и секретарем комиссии. В протокол вносится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особое мнение, высказанное на заседании любым членом комиссии. Выписки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из протоколов с особым мнением прилагаются к проекту генерального плана и проекту  правил. К протоколу могут прилагаться копии материалов по теме заседания.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Решения комиссии, выработанные в отношении предложений, замечаний, дополнений, вносятся в проект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плана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проект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 землепользования и застройки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995074" w:rsidRDefault="00995074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16B22" w:rsidRDefault="00216B22" w:rsidP="00435B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435B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«Вуктыл»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5B04" w:rsidRPr="00216B2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г. № </w:t>
      </w:r>
      <w:r w:rsidR="00435B04" w:rsidRPr="00216B22">
        <w:rPr>
          <w:rFonts w:ascii="Times New Roman" w:eastAsia="Times New Roman" w:hAnsi="Times New Roman" w:cs="Times New Roman"/>
          <w:sz w:val="24"/>
          <w:szCs w:val="24"/>
          <w:lang w:eastAsia="ru-RU"/>
        </w:rPr>
        <w:t>10/511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в комиссию по подготовке проекта генерального плана городского округа «Вуктыл» и  правил землепользования и застройки городского округа «Вуктыл» предложений заинтересованных лиц по подготовке проекта генерального плана городского округа «Вуктыл» и  правил землепользования и застройки городского округа «Вуктыл»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опубликования постановления администрации городского округа «Вуктыл» «О подготовке проектов документов территориального планирования и градостроительного зонирования: проекта генерального  плана городского округа «Вуктыл» и проекта правил землепользования и застройки городского округа «Вуктыл» заинтересованные лица вправе направлять </w:t>
      </w:r>
      <w:r w:rsidR="00995074" w:rsidRPr="0099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комиссию по подготовке проекта генерального плана городского округа «Вуктыл» и  правил землепользования и застройки городского округа «Вуктыл»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</w:t>
      </w:r>
      <w:r w:rsidR="00995074" w:rsidRP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подготовке проектов</w:t>
      </w:r>
      <w:proofErr w:type="gram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территориального планирования и градостроительного зонирования. 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могут быть направлены до момента принятия администраци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городского округа «Вуктыл»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направлении проектов генерального плана и правил землепользования и застройки в представительный орган утверждения. Предложения направляются по почте либо непосредственно в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по адресу: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городской округ «Вуктыл», г. Вуктыл, ул. Комсомольская, д.14, </w:t>
      </w:r>
      <w:proofErr w:type="spell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109. </w:t>
      </w:r>
      <w:proofErr w:type="gramEnd"/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Предложения по проектам генерального плана и правил землепользования и застройки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проектов генерального плана и правил землепользования и застройки, Комиссией не рассматриваются.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могут содержать любые материалы (как на бумажных, так и магнитных носителях)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аправленные материалы возврату не подлежат. При подготовке проектов генерального плана и проекта Правил приоритет имеют те предложения, которые обоснованы ссылкой на нормы действующего законодательства.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Предложения, поступившие в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после завершения работ по подготовке проектов генерального плана и правил землепользования и застройки, не рассматриваются. Предложения, поступившие в комиссию после завершения работ по подготовке проекта Правил, не рассматриваются. 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не дает ответы на поступившие предложения.</w:t>
      </w: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Pr="00435B04" w:rsidRDefault="0022705D" w:rsidP="00435B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435B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«Вуктыл»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 октября 2016 г. № </w:t>
      </w:r>
      <w:r w:rsidR="009B28B1">
        <w:rPr>
          <w:rFonts w:ascii="Times New Roman" w:eastAsia="Times New Roman" w:hAnsi="Times New Roman" w:cs="Times New Roman"/>
          <w:sz w:val="24"/>
          <w:szCs w:val="24"/>
          <w:lang w:eastAsia="ru-RU"/>
        </w:rPr>
        <w:t>10/511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9B28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9B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СРОКИ</w:t>
      </w:r>
    </w:p>
    <w:p w:rsidR="0022705D" w:rsidRPr="0022705D" w:rsidRDefault="0022705D" w:rsidP="00227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работ по</w:t>
      </w:r>
      <w:r w:rsidRPr="0022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подготовке и утверждению проектов генерального плана и правил землепользования и застройки муниципального образования городского округа «Вуктыл»</w:t>
      </w: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tbl>
      <w:tblPr>
        <w:tblW w:w="928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293"/>
        <w:gridCol w:w="2286"/>
        <w:gridCol w:w="3147"/>
      </w:tblGrid>
      <w:tr w:rsidR="0022705D" w:rsidRPr="0022705D" w:rsidTr="0022705D">
        <w:trPr>
          <w:trHeight w:val="48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22705D" w:rsidRPr="0022705D" w:rsidTr="0022705D">
        <w:trPr>
          <w:trHeight w:val="26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705D" w:rsidRPr="0022705D" w:rsidTr="0022705D">
        <w:trPr>
          <w:trHeight w:val="48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сообщения о принятии решения о подготовке проектов документов территориального планирования и градостроительного зонирования: </w:t>
            </w:r>
          </w:p>
          <w:p w:rsidR="0022705D" w:rsidRPr="0022705D" w:rsidRDefault="0022705D" w:rsidP="002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генерального  плана городского округа «Вуктыл» и проекта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53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задания на разработку проектов генерального плана и правил землепользования и застройки городского округа «Вуктыл» 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60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задания на разработку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1446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исходной информации для предоставления разработчику проектов 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аукциона на  размещение муниципального заказа на разработку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2017 год 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контракта  на разработку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 контрактом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705D"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 организация, выигравшая аукцион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проектов генерального плана и правил землепользования и застройки городского округа «Вуктыл». При необходимости – их доработке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рабочих дней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направлении проектов генерального плана и правил землепользования и застройки городского округа «Вуктыл» 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«Вуктыл». При необходимости – их доработка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проверки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объема замечаний, но не более 20  рабочих дней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организация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по устранению замечаний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объема замечаний, но не 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 рабочих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дней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 проектов генерального плана и правил землепользования и застройки городского округа «Вуктыл» главе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проверки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публичных слушаний по проектам генерального плана и правил землепользования и застройки городского округа «Вуктыл», 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получения проектов документов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округа «Вуктыл» 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 решения о проведение публичных слушаний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дней с даты принятия решения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Опубликования проектов генерального плана и правил землепользования и застройки городского округа «Вуктыл» 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главе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4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Одновременно с решением </w:t>
            </w:r>
            <w:r w:rsidR="0043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публикован</w:t>
            </w:r>
            <w:r w:rsidR="0043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проекту П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 округа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оформлением протокола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2 месяца максимум 4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опубликования проектов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2705D"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 подготовке проектов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публичных слушаний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проведения слушаний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по подготовке проектов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заключения по результатам публичных слушаний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проведения слушаний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«Вуктыл»,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решения о направлении проектов генерального плана и правил землепользования и застройки городского округа «Вуктыл», протокола публичных слушаний и заключения в Совет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предоставления проектов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проектов генерального плана и правил землепользования и застройки или направление проектов генерального плана и правил землепользования и застройки 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работу Совета депутатов городского округа «Ву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ктыл» или по согласованию с ним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22705D"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генерального плана и правил землепользования и застройки городского округа «Вуктыл» в установленном порядке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решения об утверждении в порядке, установленном Уставом городского округа «Вуктыл» или иным нормативным правовым актом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генерального плана и правил землепользования и застройки городского округа «Вуктыл» в Федеральной государственной информационной системе территориального планирования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10 дней со дня утверждения 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</w:tbl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sectPr w:rsidR="008317F3" w:rsidSect="00B37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D9" w:rsidRDefault="00147DD9" w:rsidP="00386FA4">
      <w:pPr>
        <w:spacing w:after="0" w:line="240" w:lineRule="auto"/>
      </w:pPr>
      <w:r>
        <w:separator/>
      </w:r>
    </w:p>
  </w:endnote>
  <w:endnote w:type="continuationSeparator" w:id="0">
    <w:p w:rsidR="00147DD9" w:rsidRDefault="00147DD9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D9" w:rsidRDefault="00147DD9" w:rsidP="00386FA4">
      <w:pPr>
        <w:spacing w:after="0" w:line="240" w:lineRule="auto"/>
      </w:pPr>
      <w:r>
        <w:separator/>
      </w:r>
    </w:p>
  </w:footnote>
  <w:footnote w:type="continuationSeparator" w:id="0">
    <w:p w:rsidR="00147DD9" w:rsidRDefault="00147DD9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multilevel"/>
    <w:tmpl w:val="09683CA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F80F42"/>
    <w:multiLevelType w:val="multilevel"/>
    <w:tmpl w:val="15769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4"/>
  </w:num>
  <w:num w:numId="12">
    <w:abstractNumId w:val="14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1"/>
  </w:num>
  <w:num w:numId="21">
    <w:abstractNumId w:val="12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F27"/>
    <w:rsid w:val="000016F8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A3E"/>
    <w:rsid w:val="00030D52"/>
    <w:rsid w:val="000320BC"/>
    <w:rsid w:val="00032841"/>
    <w:rsid w:val="00033041"/>
    <w:rsid w:val="0003408F"/>
    <w:rsid w:val="000344B6"/>
    <w:rsid w:val="00035699"/>
    <w:rsid w:val="000359A4"/>
    <w:rsid w:val="00036941"/>
    <w:rsid w:val="00036E44"/>
    <w:rsid w:val="000371A3"/>
    <w:rsid w:val="000408D3"/>
    <w:rsid w:val="000408E0"/>
    <w:rsid w:val="00040BE8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6E5"/>
    <w:rsid w:val="00062807"/>
    <w:rsid w:val="000637AB"/>
    <w:rsid w:val="00064C39"/>
    <w:rsid w:val="00064EAA"/>
    <w:rsid w:val="000664B8"/>
    <w:rsid w:val="00067043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613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61A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39C9"/>
    <w:rsid w:val="000E4AEF"/>
    <w:rsid w:val="000E4F74"/>
    <w:rsid w:val="000E5D29"/>
    <w:rsid w:val="000E7094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6A92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DD9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4E8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46A8"/>
    <w:rsid w:val="00175189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46F"/>
    <w:rsid w:val="001C6534"/>
    <w:rsid w:val="001D0391"/>
    <w:rsid w:val="001D20BD"/>
    <w:rsid w:val="001D2129"/>
    <w:rsid w:val="001D231D"/>
    <w:rsid w:val="001D29AB"/>
    <w:rsid w:val="001D335C"/>
    <w:rsid w:val="001D3839"/>
    <w:rsid w:val="001D39DF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12A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0982"/>
    <w:rsid w:val="00213935"/>
    <w:rsid w:val="0021421B"/>
    <w:rsid w:val="0021473C"/>
    <w:rsid w:val="00214CA4"/>
    <w:rsid w:val="00216B22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2705D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1D2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7C5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E79A4"/>
    <w:rsid w:val="002F3972"/>
    <w:rsid w:val="002F45DA"/>
    <w:rsid w:val="002F4877"/>
    <w:rsid w:val="002F584B"/>
    <w:rsid w:val="002F586C"/>
    <w:rsid w:val="002F74AF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2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008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0FC7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1779"/>
    <w:rsid w:val="003D2126"/>
    <w:rsid w:val="003D31AE"/>
    <w:rsid w:val="003D3224"/>
    <w:rsid w:val="003D3786"/>
    <w:rsid w:val="003D4271"/>
    <w:rsid w:val="003D43E0"/>
    <w:rsid w:val="003D4C63"/>
    <w:rsid w:val="003D5619"/>
    <w:rsid w:val="003D6C5D"/>
    <w:rsid w:val="003D7A6C"/>
    <w:rsid w:val="003D7B1A"/>
    <w:rsid w:val="003E0B13"/>
    <w:rsid w:val="003E126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37ED"/>
    <w:rsid w:val="00424F64"/>
    <w:rsid w:val="0042505D"/>
    <w:rsid w:val="00426A80"/>
    <w:rsid w:val="00427C8D"/>
    <w:rsid w:val="0043087E"/>
    <w:rsid w:val="00430909"/>
    <w:rsid w:val="00431413"/>
    <w:rsid w:val="004338EF"/>
    <w:rsid w:val="00433AE9"/>
    <w:rsid w:val="00433B9C"/>
    <w:rsid w:val="004347E3"/>
    <w:rsid w:val="0043489B"/>
    <w:rsid w:val="00435B04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AF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777FD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AD2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D70F8"/>
    <w:rsid w:val="004E0435"/>
    <w:rsid w:val="004E0809"/>
    <w:rsid w:val="004E0D35"/>
    <w:rsid w:val="004E1ED2"/>
    <w:rsid w:val="004E2A7D"/>
    <w:rsid w:val="004E6186"/>
    <w:rsid w:val="004E7790"/>
    <w:rsid w:val="004F0931"/>
    <w:rsid w:val="004F0C74"/>
    <w:rsid w:val="004F1F08"/>
    <w:rsid w:val="004F3C1D"/>
    <w:rsid w:val="004F5C9E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5B14"/>
    <w:rsid w:val="00546838"/>
    <w:rsid w:val="005500E9"/>
    <w:rsid w:val="00551E03"/>
    <w:rsid w:val="00552DA0"/>
    <w:rsid w:val="00553861"/>
    <w:rsid w:val="00554360"/>
    <w:rsid w:val="00555436"/>
    <w:rsid w:val="00557F65"/>
    <w:rsid w:val="005600B5"/>
    <w:rsid w:val="005622FB"/>
    <w:rsid w:val="00562793"/>
    <w:rsid w:val="00562F5E"/>
    <w:rsid w:val="0056310C"/>
    <w:rsid w:val="0056422C"/>
    <w:rsid w:val="00564353"/>
    <w:rsid w:val="00565466"/>
    <w:rsid w:val="00567826"/>
    <w:rsid w:val="00571EAE"/>
    <w:rsid w:val="005724A9"/>
    <w:rsid w:val="00572594"/>
    <w:rsid w:val="00574AC8"/>
    <w:rsid w:val="00576302"/>
    <w:rsid w:val="00577F0C"/>
    <w:rsid w:val="005816FE"/>
    <w:rsid w:val="00581869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7BB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C8D"/>
    <w:rsid w:val="005C2F03"/>
    <w:rsid w:val="005C55AF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76E"/>
    <w:rsid w:val="005F5FF0"/>
    <w:rsid w:val="005F651A"/>
    <w:rsid w:val="006049B2"/>
    <w:rsid w:val="00605D71"/>
    <w:rsid w:val="00606224"/>
    <w:rsid w:val="00606A84"/>
    <w:rsid w:val="0060719A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1CE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516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1DD3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6B91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264A"/>
    <w:rsid w:val="007C357C"/>
    <w:rsid w:val="007C52BC"/>
    <w:rsid w:val="007C67B6"/>
    <w:rsid w:val="007D026E"/>
    <w:rsid w:val="007D0400"/>
    <w:rsid w:val="007D05E2"/>
    <w:rsid w:val="007D0DD0"/>
    <w:rsid w:val="007D25EE"/>
    <w:rsid w:val="007D41B2"/>
    <w:rsid w:val="007D5AA3"/>
    <w:rsid w:val="007D6C99"/>
    <w:rsid w:val="007D78D9"/>
    <w:rsid w:val="007D7F76"/>
    <w:rsid w:val="007E3033"/>
    <w:rsid w:val="007E7720"/>
    <w:rsid w:val="007E7B63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17F3"/>
    <w:rsid w:val="00832213"/>
    <w:rsid w:val="00832B69"/>
    <w:rsid w:val="0083627A"/>
    <w:rsid w:val="00837BD7"/>
    <w:rsid w:val="00840E76"/>
    <w:rsid w:val="00842771"/>
    <w:rsid w:val="00842D0B"/>
    <w:rsid w:val="0084489B"/>
    <w:rsid w:val="008466F2"/>
    <w:rsid w:val="0084696A"/>
    <w:rsid w:val="008473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37F7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29C0"/>
    <w:rsid w:val="008A379E"/>
    <w:rsid w:val="008A482C"/>
    <w:rsid w:val="008A630C"/>
    <w:rsid w:val="008B077F"/>
    <w:rsid w:val="008B20D4"/>
    <w:rsid w:val="008B4021"/>
    <w:rsid w:val="008B4E68"/>
    <w:rsid w:val="008B62FB"/>
    <w:rsid w:val="008B782E"/>
    <w:rsid w:val="008C0D9A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2E67"/>
    <w:rsid w:val="008F3BC0"/>
    <w:rsid w:val="008F53FF"/>
    <w:rsid w:val="008F58E3"/>
    <w:rsid w:val="008F7BE1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1B1D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A8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074"/>
    <w:rsid w:val="00995C8F"/>
    <w:rsid w:val="0099668B"/>
    <w:rsid w:val="009A3C23"/>
    <w:rsid w:val="009A485D"/>
    <w:rsid w:val="009A54CA"/>
    <w:rsid w:val="009A6605"/>
    <w:rsid w:val="009A774A"/>
    <w:rsid w:val="009B122C"/>
    <w:rsid w:val="009B28B1"/>
    <w:rsid w:val="009B47EB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69E6"/>
    <w:rsid w:val="009D794D"/>
    <w:rsid w:val="009E1E0B"/>
    <w:rsid w:val="009E22BE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5A91"/>
    <w:rsid w:val="00A26E41"/>
    <w:rsid w:val="00A27233"/>
    <w:rsid w:val="00A312DC"/>
    <w:rsid w:val="00A313B6"/>
    <w:rsid w:val="00A36DC9"/>
    <w:rsid w:val="00A417F2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08D"/>
    <w:rsid w:val="00A53721"/>
    <w:rsid w:val="00A537A1"/>
    <w:rsid w:val="00A555B7"/>
    <w:rsid w:val="00A567D7"/>
    <w:rsid w:val="00A57527"/>
    <w:rsid w:val="00A57548"/>
    <w:rsid w:val="00A61F9F"/>
    <w:rsid w:val="00A62215"/>
    <w:rsid w:val="00A62AB6"/>
    <w:rsid w:val="00A63B42"/>
    <w:rsid w:val="00A66192"/>
    <w:rsid w:val="00A66D5E"/>
    <w:rsid w:val="00A67AA5"/>
    <w:rsid w:val="00A71198"/>
    <w:rsid w:val="00A71DB9"/>
    <w:rsid w:val="00A74644"/>
    <w:rsid w:val="00A750BA"/>
    <w:rsid w:val="00A75D0A"/>
    <w:rsid w:val="00A75E83"/>
    <w:rsid w:val="00A77DF6"/>
    <w:rsid w:val="00A77F8B"/>
    <w:rsid w:val="00A80176"/>
    <w:rsid w:val="00A8086B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19F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446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37475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16AF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DE"/>
    <w:rsid w:val="00C664EB"/>
    <w:rsid w:val="00C66813"/>
    <w:rsid w:val="00C66973"/>
    <w:rsid w:val="00C66DFA"/>
    <w:rsid w:val="00C671E9"/>
    <w:rsid w:val="00C67C49"/>
    <w:rsid w:val="00C710BF"/>
    <w:rsid w:val="00C7169D"/>
    <w:rsid w:val="00C728D0"/>
    <w:rsid w:val="00C7446B"/>
    <w:rsid w:val="00C75721"/>
    <w:rsid w:val="00C765D8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376F"/>
    <w:rsid w:val="00CC69DD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6466"/>
    <w:rsid w:val="00CF789D"/>
    <w:rsid w:val="00CF79D4"/>
    <w:rsid w:val="00D0001C"/>
    <w:rsid w:val="00D000A1"/>
    <w:rsid w:val="00D01276"/>
    <w:rsid w:val="00D0156F"/>
    <w:rsid w:val="00D05274"/>
    <w:rsid w:val="00D0795A"/>
    <w:rsid w:val="00D07C89"/>
    <w:rsid w:val="00D10720"/>
    <w:rsid w:val="00D1215D"/>
    <w:rsid w:val="00D13450"/>
    <w:rsid w:val="00D13826"/>
    <w:rsid w:val="00D140FC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412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079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241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1DF2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16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760F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44E2"/>
    <w:rsid w:val="00ED50A4"/>
    <w:rsid w:val="00ED569D"/>
    <w:rsid w:val="00ED5857"/>
    <w:rsid w:val="00ED5E85"/>
    <w:rsid w:val="00ED6779"/>
    <w:rsid w:val="00EE04BA"/>
    <w:rsid w:val="00EE146F"/>
    <w:rsid w:val="00EE42BE"/>
    <w:rsid w:val="00EE4F6C"/>
    <w:rsid w:val="00EE5142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3F8E"/>
    <w:rsid w:val="00F04BEB"/>
    <w:rsid w:val="00F04F5A"/>
    <w:rsid w:val="00F05A58"/>
    <w:rsid w:val="00F05E76"/>
    <w:rsid w:val="00F06CAB"/>
    <w:rsid w:val="00F06D67"/>
    <w:rsid w:val="00F078C8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2938"/>
    <w:rsid w:val="00F357E9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BEF"/>
    <w:rsid w:val="00F6713D"/>
    <w:rsid w:val="00F7427A"/>
    <w:rsid w:val="00F74A77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243E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488"/>
    <w:rsid w:val="00FD5507"/>
    <w:rsid w:val="00FD66B4"/>
    <w:rsid w:val="00FE0636"/>
    <w:rsid w:val="00FE10C7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F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8"/>
    <w:uiPriority w:val="59"/>
    <w:rsid w:val="0058186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8"/>
    <w:uiPriority w:val="59"/>
    <w:rsid w:val="005818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6F263B8CB9941A78E6AA1799E0553B667DCA8E011C5732B04D935D041F71E3B1FC8604CF25235B737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919C6D-EED8-4D9E-9461-A9511488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17</Pages>
  <Words>6722</Words>
  <Characters>38317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53</cp:revision>
  <cp:lastPrinted>2016-10-17T15:25:00Z</cp:lastPrinted>
  <dcterms:created xsi:type="dcterms:W3CDTF">2015-08-01T09:44:00Z</dcterms:created>
  <dcterms:modified xsi:type="dcterms:W3CDTF">2016-10-19T01:38:00Z</dcterms:modified>
</cp:coreProperties>
</file>