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480" w:rsidRDefault="005A4480" w:rsidP="005A448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A4480" w:rsidRDefault="005A4480" w:rsidP="005A448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A4480" w:rsidRDefault="005A4480" w:rsidP="005A448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A4480" w:rsidRPr="005A4480" w:rsidRDefault="005A4480" w:rsidP="005A4480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A44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ПОСТАНОВЛЕНИЕ</w:t>
      </w:r>
    </w:p>
    <w:p w:rsidR="005A4480" w:rsidRPr="005A4480" w:rsidRDefault="005A4480" w:rsidP="005A4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A44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администрации городского округа «Вуктыл»</w:t>
      </w:r>
    </w:p>
    <w:p w:rsidR="005A4480" w:rsidRPr="005A4480" w:rsidRDefault="005A4480" w:rsidP="005A4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  <w:r w:rsidRPr="005A44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от 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5</w:t>
      </w:r>
      <w:r w:rsidRPr="005A4480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 xml:space="preserve"> октября 2018 г. № 10/11</w:t>
      </w:r>
      <w:r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  <w:t>71</w:t>
      </w:r>
    </w:p>
    <w:p w:rsidR="005A4480" w:rsidRPr="005A4480" w:rsidRDefault="005A4480" w:rsidP="005A4480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ru-RU"/>
        </w:rPr>
      </w:pPr>
    </w:p>
    <w:p w:rsidR="005A4480" w:rsidRPr="005A4480" w:rsidRDefault="005A4480" w:rsidP="005A448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порядке разработки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 xml:space="preserve">городского округа «Вуктыл» и о признании утратившим силу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постановления администрации муниципального района «Вуктыл» от 11 ноября 2009 г. № 11/1253 «Об утверждении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порядка разработки прогноза социально-экономического развития муниципального образования муниципального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района «Вуктыл»</w:t>
      </w: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4F1F1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со статьей 173 Бюджетного кодекса Российской Федерации, Федеральным законом от 28 июня 2014 г. № 172-ФЗ «О стратегическом планировании в Российской Федерации» </w:t>
      </w:r>
      <w:r>
        <w:rPr>
          <w:rFonts w:ascii="Times New Roman" w:hAnsi="Times New Roman" w:cs="Times New Roman"/>
          <w:bCs/>
          <w:sz w:val="24"/>
          <w:szCs w:val="24"/>
        </w:rPr>
        <w:t>администрация городского округа «Вуктыл» постановляет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277D" w:rsidRDefault="004F1F12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fldChar w:fldCharType="begin"/>
      </w:r>
      <w:r>
        <w:instrText xml:space="preserve"> HYPERLINK "consultantplus://offline/ref=A4374DDCDCF9FEA3C3E2C6D383CE163D5F94BE46A9B911F5C57B1D26C3B157B0434F33EDC40D9132F654B26FEAY7O" \h </w:instrText>
      </w:r>
      <w:r>
        <w:fldChar w:fldCharType="separate"/>
      </w:r>
      <w: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t>орядок</w:t>
      </w:r>
      <w:r>
        <w:rPr>
          <w:rStyle w:val="-"/>
          <w:rFonts w:ascii="Times New Roman" w:hAnsi="Times New Roman" w:cs="Times New Roman"/>
          <w:color w:val="auto"/>
          <w:sz w:val="24"/>
          <w:szCs w:val="24"/>
          <w:u w:val="none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разработки прогноза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10277D" w:rsidRDefault="004F1F12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утратившим силу </w:t>
      </w:r>
      <w:r>
        <w:rPr>
          <w:rFonts w:ascii="Times New Roman" w:hAnsi="Times New Roman" w:cs="Times New Roman"/>
          <w:bCs/>
          <w:sz w:val="24"/>
          <w:szCs w:val="24"/>
        </w:rPr>
        <w:t xml:space="preserve">постановление администрации муниципального района «Вуктыл» от 11 ноября 2009 г. № 11/1253 «Об утверждении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порядка разработки прогноза социально-экономического развития муниципального образования муниципального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района «Вуктыл».</w:t>
      </w:r>
    </w:p>
    <w:p w:rsidR="0010277D" w:rsidRDefault="004F1F12">
      <w:pPr>
        <w:pStyle w:val="ac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со дня подписания и подлежит официальному опубликованию (обнародованию).</w:t>
      </w:r>
    </w:p>
    <w:p w:rsidR="0010277D" w:rsidRDefault="004F1F12">
      <w:pPr>
        <w:pStyle w:val="ac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</w:pP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0277D" w:rsidRDefault="0010277D">
      <w:pPr>
        <w:spacing w:after="0" w:line="6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4F1F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руководителя администрации </w:t>
      </w:r>
    </w:p>
    <w:p w:rsidR="0010277D" w:rsidRDefault="004F1F12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В.Н. Крисанов</w:t>
      </w: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4480" w:rsidRDefault="005A44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spacing w:after="0" w:line="240" w:lineRule="auto"/>
        <w:ind w:firstLine="5387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10277D" w:rsidRDefault="004F1F12">
      <w:pPr>
        <w:spacing w:after="0" w:line="240" w:lineRule="auto"/>
        <w:ind w:firstLine="5387"/>
        <w:jc w:val="center"/>
      </w:pPr>
      <w:r>
        <w:rPr>
          <w:rFonts w:ascii="Times New Roman" w:hAnsi="Times New Roman" w:cs="Times New Roman"/>
          <w:caps/>
          <w:sz w:val="24"/>
          <w:szCs w:val="24"/>
        </w:rPr>
        <w:lastRenderedPageBreak/>
        <w:t>Утвержден</w:t>
      </w:r>
    </w:p>
    <w:p w:rsidR="0010277D" w:rsidRDefault="004F1F12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10277D" w:rsidRDefault="004F1F12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0277D" w:rsidRDefault="004F1F12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03F94">
        <w:rPr>
          <w:rFonts w:ascii="Times New Roman" w:hAnsi="Times New Roman" w:cs="Times New Roman"/>
          <w:sz w:val="24"/>
          <w:szCs w:val="24"/>
        </w:rPr>
        <w:t>15 октября</w:t>
      </w:r>
      <w:r>
        <w:rPr>
          <w:rFonts w:ascii="Times New Roman" w:hAnsi="Times New Roman" w:cs="Times New Roman"/>
          <w:sz w:val="24"/>
          <w:szCs w:val="24"/>
        </w:rPr>
        <w:t xml:space="preserve"> 2018 г. №</w:t>
      </w:r>
      <w:r w:rsidR="00D03F94">
        <w:rPr>
          <w:rFonts w:ascii="Times New Roman" w:hAnsi="Times New Roman" w:cs="Times New Roman"/>
          <w:sz w:val="24"/>
          <w:szCs w:val="24"/>
        </w:rPr>
        <w:t xml:space="preserve"> 10/1171</w:t>
      </w:r>
    </w:p>
    <w:p w:rsidR="0010277D" w:rsidRDefault="004F1F12">
      <w:pPr>
        <w:pStyle w:val="ConsPlusNormal"/>
        <w:ind w:firstLine="538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(приложение)</w:t>
      </w:r>
    </w:p>
    <w:p w:rsidR="0010277D" w:rsidRDefault="0010277D">
      <w:pPr>
        <w:spacing w:after="0" w:line="240" w:lineRule="auto"/>
        <w:ind w:firstLine="5670"/>
        <w:jc w:val="center"/>
        <w:rPr>
          <w:rFonts w:ascii="Times New Roman" w:hAnsi="Times New Roman" w:cs="Times New Roman"/>
          <w:sz w:val="24"/>
          <w:szCs w:val="24"/>
        </w:rPr>
      </w:pPr>
    </w:p>
    <w:p w:rsidR="0010277D" w:rsidRDefault="0010277D">
      <w:pPr>
        <w:pStyle w:val="ConsPlusNormal"/>
      </w:pPr>
    </w:p>
    <w:p w:rsidR="0010277D" w:rsidRDefault="004F1F12">
      <w:pPr>
        <w:pStyle w:val="ConsPlusNormal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Порядок </w:t>
      </w:r>
    </w:p>
    <w:p w:rsidR="0010277D" w:rsidRDefault="004F1F12">
      <w:pPr>
        <w:pStyle w:val="ConsPlusNormal"/>
        <w:jc w:val="center"/>
        <w:rPr>
          <w:b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разработки прогноза социально-экономического развития муниципального образования </w:t>
      </w:r>
      <w:r>
        <w:rPr>
          <w:rFonts w:ascii="Times New Roman" w:hAnsi="Times New Roman" w:cs="Times New Roman"/>
          <w:b/>
          <w:sz w:val="24"/>
          <w:szCs w:val="24"/>
        </w:rPr>
        <w:t>городского округа «Вуктыл»</w:t>
      </w:r>
    </w:p>
    <w:p w:rsidR="0010277D" w:rsidRDefault="001027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0277D" w:rsidRDefault="004F1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устанавливает основы разработки прогноза социально-экономического развития муниципального образования городского округа «Вуктыл».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</w:t>
      </w:r>
      <w:r>
        <w:rPr>
          <w:rFonts w:ascii="Times New Roman" w:hAnsi="Times New Roman" w:cs="Times New Roman"/>
          <w:bCs/>
          <w:sz w:val="24"/>
          <w:szCs w:val="24"/>
        </w:rPr>
        <w:t xml:space="preserve">рогноз социально-экономического развития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(далее - прогноз) </w:t>
      </w:r>
      <w:r>
        <w:rPr>
          <w:rFonts w:ascii="Times New Roman" w:hAnsi="Times New Roman" w:cs="Times New Roman"/>
          <w:bCs/>
          <w:sz w:val="24"/>
          <w:szCs w:val="24"/>
        </w:rPr>
        <w:t>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период.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Прогноз включает в себя количественные и качественные параметры развития экономики и социальной сферы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77D" w:rsidRDefault="004F1F12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 xml:space="preserve">3. Прогноз разрабатывается по </w:t>
      </w:r>
      <w:hyperlink r:id="rId7">
        <w:r>
          <w:rPr>
            <w:rStyle w:val="-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форме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 к настоящему порядку на период не менее 3 лет. </w:t>
      </w:r>
    </w:p>
    <w:p w:rsidR="0010277D" w:rsidRDefault="004F1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Прогноз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10277D" w:rsidRDefault="004F1F1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пояснительной записке к прогнозу приводится обоснование параметров прогноза, в том числе его сопоставление с ранее утвержденными параметрами с указанием причин и факторов прогнозируемых изменений.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Уполномоченный орган по разработке  прогноза - отдел по развитию экономики и предпринимательства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>(далее - отдел по развитию экономики и предпринимательства).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Участниками процесса прогнозирования являются: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Финансовое управление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«Вуктыл»;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структурные подразделения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муниципальные учреждения и предприятия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другие организации, осуществляющие деятельность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, привлекаемые к процессу прогнозирования.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Отдел по развитию экономики и предпринимательства организует разработку прогноза, осуществляет методическое руководство и координацию деятельности участников процесса прогнозирования, мониторинг и расчет показателей, определяет перечень показателей прогноза с учетом рекомендаций Министерства экономики Республики Коми, устанавливает сроки подготовки информации и направляет запросы участникам процесса прогнозирования.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Ответственность за достоверность и полноту предоставленной информации несут руководители: структурных подразделений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, Финансового управления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, муниципальных учреждений и предприятий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, других организаций, осуществляющих деятельность на территории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, привлекаемых к процессу прогнозирования.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Отдел по развитию экономики и предпринимательства предоставляет в Финансовое управление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прогноз на среднесрочную перспективу в установленные законодательством сроки.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9. Финансовое управление администрации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 xml:space="preserve">при разработке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должно руководствоваться показателями прогноза на среднесрочную перспективу.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Прогноз одобряется распоряжением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 xml:space="preserve">одновременно с принятием решения о внесении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в Совет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277D" w:rsidRDefault="004F1F1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Изменение прогноза в ходе составления или рассмотрения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влечет за собой изменение основных характеристик проекта бюджета муниципального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на соответствующий финансовый год.</w:t>
      </w:r>
    </w:p>
    <w:p w:rsidR="0010277D" w:rsidRDefault="0010277D">
      <w:pPr>
        <w:widowControl w:val="0"/>
        <w:tabs>
          <w:tab w:val="left" w:pos="720"/>
        </w:tabs>
        <w:spacing w:after="0" w:line="640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jc w:val="both"/>
        <w:rPr>
          <w:rFonts w:ascii="Times New Roman" w:hAnsi="Times New Roman" w:cs="Times New Roman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277D" w:rsidRDefault="0010277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03F94" w:rsidRDefault="00D03F94">
      <w:pPr>
        <w:pStyle w:val="ConsPlusNormal"/>
        <w:widowControl/>
        <w:ind w:left="10206"/>
        <w:jc w:val="center"/>
        <w:rPr>
          <w:rFonts w:ascii="Times New Roman" w:hAnsi="Times New Roman" w:cs="Times New Roman"/>
          <w:sz w:val="26"/>
          <w:szCs w:val="26"/>
        </w:rPr>
      </w:pPr>
    </w:p>
    <w:p w:rsidR="00D03F94" w:rsidRPr="00D03F94" w:rsidRDefault="00D03F94" w:rsidP="00D03F94">
      <w:pPr>
        <w:rPr>
          <w:lang w:eastAsia="ru-RU"/>
        </w:rPr>
      </w:pPr>
    </w:p>
    <w:p w:rsidR="00D03F94" w:rsidRPr="00D03F94" w:rsidRDefault="00D03F94" w:rsidP="00D03F94">
      <w:pPr>
        <w:rPr>
          <w:lang w:eastAsia="ru-RU"/>
        </w:rPr>
      </w:pPr>
    </w:p>
    <w:p w:rsidR="00D03F94" w:rsidRDefault="00D03F94" w:rsidP="00D03F94">
      <w:pPr>
        <w:tabs>
          <w:tab w:val="left" w:pos="3885"/>
        </w:tabs>
        <w:rPr>
          <w:lang w:eastAsia="ru-RU"/>
        </w:rPr>
      </w:pPr>
      <w:r>
        <w:rPr>
          <w:lang w:eastAsia="ru-RU"/>
        </w:rPr>
        <w:tab/>
      </w:r>
    </w:p>
    <w:p w:rsidR="00D03F94" w:rsidRDefault="00D03F94" w:rsidP="00D03F94">
      <w:pPr>
        <w:rPr>
          <w:lang w:eastAsia="ru-RU"/>
        </w:rPr>
      </w:pPr>
    </w:p>
    <w:p w:rsidR="00D03F94" w:rsidRDefault="00D03F94" w:rsidP="00D03F94">
      <w:pPr>
        <w:rPr>
          <w:lang w:eastAsia="ru-RU"/>
        </w:rPr>
        <w:sectPr w:rsidR="00D03F94" w:rsidSect="00640313">
          <w:pgSz w:w="11906" w:h="16838"/>
          <w:pgMar w:top="1134" w:right="851" w:bottom="851" w:left="1559" w:header="0" w:footer="0" w:gutter="0"/>
          <w:cols w:space="720"/>
          <w:formProt w:val="0"/>
          <w:docGrid w:linePitch="360" w:charSpace="4096"/>
        </w:sectPr>
      </w:pPr>
    </w:p>
    <w:p w:rsidR="0010277D" w:rsidRDefault="004F1F12">
      <w:pPr>
        <w:spacing w:after="0" w:line="240" w:lineRule="auto"/>
        <w:ind w:firstLine="9923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0277D" w:rsidRDefault="004F1F12">
      <w:pPr>
        <w:spacing w:after="0" w:line="240" w:lineRule="auto"/>
        <w:ind w:firstLine="9923"/>
        <w:jc w:val="center"/>
      </w:pPr>
      <w:r>
        <w:rPr>
          <w:rFonts w:ascii="Times New Roman" w:hAnsi="Times New Roman" w:cs="Times New Roman"/>
          <w:sz w:val="24"/>
          <w:szCs w:val="24"/>
        </w:rPr>
        <w:t>к порядку разработки прогноза</w:t>
      </w:r>
    </w:p>
    <w:p w:rsidR="0010277D" w:rsidRDefault="004F1F12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социально-экономического развития</w:t>
      </w:r>
    </w:p>
    <w:p w:rsidR="0010277D" w:rsidRDefault="004F1F12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10277D" w:rsidRDefault="004F1F12">
      <w:pPr>
        <w:spacing w:after="0" w:line="240" w:lineRule="auto"/>
        <w:ind w:firstLine="992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 «Вуктыл»</w:t>
      </w:r>
    </w:p>
    <w:p w:rsidR="0010277D" w:rsidRDefault="0010277D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10277D" w:rsidRDefault="004F1F12">
      <w:pPr>
        <w:pStyle w:val="ConsPlusNormal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10277D" w:rsidRDefault="004F1F12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социально-экономического развития муниципального образования городского округа «Вуктыл»</w:t>
      </w:r>
    </w:p>
    <w:p w:rsidR="0010277D" w:rsidRDefault="004F1F12">
      <w:pPr>
        <w:pStyle w:val="ConsPlusNormal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на 20____ год и на период до 20___  года</w:t>
      </w:r>
    </w:p>
    <w:tbl>
      <w:tblPr>
        <w:tblW w:w="1530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21"/>
        <w:gridCol w:w="3685"/>
        <w:gridCol w:w="1701"/>
        <w:gridCol w:w="1701"/>
        <w:gridCol w:w="1701"/>
      </w:tblGrid>
      <w:tr w:rsidR="0010277D">
        <w:trPr>
          <w:trHeight w:val="315"/>
        </w:trPr>
        <w:tc>
          <w:tcPr>
            <w:tcW w:w="652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368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510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Прогноз</w:t>
            </w:r>
          </w:p>
        </w:tc>
      </w:tr>
      <w:tr w:rsidR="0010277D">
        <w:trPr>
          <w:trHeight w:val="569"/>
        </w:trPr>
        <w:tc>
          <w:tcPr>
            <w:tcW w:w="652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текущий год + 1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год + 2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текущий год + 3</w:t>
            </w:r>
          </w:p>
        </w:tc>
      </w:tr>
    </w:tbl>
    <w:p w:rsidR="0010277D" w:rsidRDefault="0010277D">
      <w:pPr>
        <w:pStyle w:val="ConsPlusNormal"/>
        <w:widowControl/>
        <w:jc w:val="both"/>
        <w:rPr>
          <w:rFonts w:ascii="Times New Roman" w:hAnsi="Times New Roman" w:cs="Times New Roman"/>
          <w:sz w:val="6"/>
          <w:szCs w:val="6"/>
        </w:rPr>
      </w:pPr>
    </w:p>
    <w:tbl>
      <w:tblPr>
        <w:tblW w:w="15309" w:type="dxa"/>
        <w:tblInd w:w="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521"/>
        <w:gridCol w:w="3685"/>
        <w:gridCol w:w="1701"/>
        <w:gridCol w:w="1701"/>
        <w:gridCol w:w="1701"/>
      </w:tblGrid>
      <w:tr w:rsidR="0010277D">
        <w:trPr>
          <w:trHeight w:val="285"/>
          <w:tblHeader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</w:tr>
      <w:tr w:rsidR="0010277D">
        <w:trPr>
          <w:trHeight w:val="360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1. Демографические показатели</w:t>
            </w:r>
          </w:p>
        </w:tc>
      </w:tr>
      <w:tr w:rsidR="0010277D">
        <w:trPr>
          <w:trHeight w:val="45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постоянного населения на конец года 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Родившихся 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Умерших</w:t>
            </w:r>
            <w:proofErr w:type="gramEnd"/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Естественный прирост, убыль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Миграционный прирост, убыль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(-)</w:t>
            </w:r>
            <w:proofErr w:type="gramEnd"/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 Производство товаров и услуг</w:t>
            </w: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2.1. Промышленное производство</w:t>
            </w: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Добыча полезных ископаемых</w:t>
            </w:r>
          </w:p>
        </w:tc>
      </w:tr>
      <w:tr w:rsidR="0010277D">
        <w:trPr>
          <w:trHeight w:val="54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Обрабатывающие производства</w:t>
            </w:r>
          </w:p>
        </w:tc>
      </w:tr>
      <w:tr w:rsidR="0010277D">
        <w:trPr>
          <w:trHeight w:val="495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Обеспечение электрической энергией, газом и паром; кондиционирование воздуха</w:t>
            </w:r>
          </w:p>
        </w:tc>
      </w:tr>
      <w:tr w:rsidR="0010277D">
        <w:trPr>
          <w:trHeight w:val="525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Водоснабжение; водоотведение, организация сбора и утилизация отходов, деятельность по ликвидации загрязнений</w:t>
            </w:r>
          </w:p>
        </w:tc>
      </w:tr>
      <w:tr w:rsidR="0010277D">
        <w:trPr>
          <w:trHeight w:val="30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Объем отгруженных товаров собственного производства, выполненных работ и услуг собственными силами 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2.2. Сельское хозяйство</w:t>
            </w:r>
          </w:p>
        </w:tc>
      </w:tr>
      <w:tr w:rsidR="0010277D">
        <w:trPr>
          <w:trHeight w:val="54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Продукция в крестьянских (фермерских) хозяйствах и у индивидуальных предпринимателей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51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0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2.3. Производство важнейших видов продукции в натуральном выражении </w:t>
            </w:r>
          </w:p>
        </w:tc>
      </w:tr>
      <w:tr w:rsidR="0010277D">
        <w:trPr>
          <w:trHeight w:val="39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Нефть, включая газовый конденсат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тонн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1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Газ природный и попутный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72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2.4. Строительство</w:t>
            </w:r>
          </w:p>
        </w:tc>
      </w:tr>
      <w:tr w:rsidR="0010277D">
        <w:trPr>
          <w:trHeight w:val="31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Бюджетные инвестиции в объекты капитального строительства муниципальной собственности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3. Рынок товаров и услуг</w:t>
            </w:r>
          </w:p>
        </w:tc>
      </w:tr>
      <w:tr w:rsidR="0010277D">
        <w:trPr>
          <w:trHeight w:val="30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Оборот розничной торговли 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6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2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2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Оборот общественного питания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млн.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2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2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4. Хозяйствующие субъекты</w:t>
            </w:r>
          </w:p>
        </w:tc>
      </w:tr>
      <w:tr w:rsidR="0010277D">
        <w:trPr>
          <w:trHeight w:val="52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юридических лиц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единиц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3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1" w:name="_Toc128796939"/>
            <w:bookmarkStart w:id="2" w:name="_Toc38347883"/>
            <w:bookmarkEnd w:id="1"/>
            <w:bookmarkEnd w:id="2"/>
            <w:r>
              <w:rPr>
                <w:rFonts w:ascii="Times New Roman" w:hAnsi="Times New Roman" w:cs="Times New Roman"/>
                <w:sz w:val="20"/>
                <w:szCs w:val="20"/>
              </w:rPr>
              <w:t>Численность индивидуальных предпринимателей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277D">
        <w:trPr>
          <w:trHeight w:val="40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60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5. Инвестиции</w:t>
            </w:r>
          </w:p>
        </w:tc>
      </w:tr>
      <w:tr w:rsidR="0010277D">
        <w:trPr>
          <w:trHeight w:val="450"/>
        </w:trPr>
        <w:tc>
          <w:tcPr>
            <w:tcW w:w="6521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Инвестиции в основной капитал за счет всех источников финансирования – всего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 к предыдущему году в сопоставимых ценах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индекс-дефлятор % к предыдущему году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277D">
        <w:trPr>
          <w:trHeight w:val="31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Собственные средства предприятий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Привлеченные средства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руб. в ценах соответствующих лет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6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за счет средств местных бюджетов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10277D">
        <w:trPr>
          <w:trHeight w:val="49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индивидуальные жилые дома, построенные населением за свой счет и (или) с помощью кредитов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тыс.кв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общей площади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7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6. Труд и занятость</w:t>
            </w:r>
          </w:p>
        </w:tc>
      </w:tr>
      <w:tr w:rsidR="0010277D">
        <w:trPr>
          <w:trHeight w:val="37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Уровень зарегистрированной безработицы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6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безработных, зарегистрированных в органах государственной службы занятости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6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населения в трудоспособном возрасте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9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Среднесписочная численность работников организаций – всего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Фонд заработной платы работников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69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Фонд оплаты труда  работников муниципальных учреждений,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870"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Расчетные коэффициенты (процент) роста фонда заработной платы работников муниципальных учреждений,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690"/>
        </w:trPr>
        <w:tc>
          <w:tcPr>
            <w:tcW w:w="6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Среднегодовая численность занятых в муниципальных учреждениях, финансируемых из бюджета муниципального образования городского округа «Вуктыл»</w:t>
            </w:r>
          </w:p>
        </w:tc>
        <w:tc>
          <w:tcPr>
            <w:tcW w:w="3685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человек</w:t>
            </w: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656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45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Доля занятых в муниципальных учреждениях, финансируемых из бюджета муниципального образования городского округа «Вуктыл» в общей в среднесписочной численности работников организаций 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1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7. Развитие социальной сферы</w:t>
            </w: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201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Обеспеченность: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 </w:t>
            </w:r>
          </w:p>
        </w:tc>
      </w:tr>
      <w:tr w:rsidR="0010277D">
        <w:trPr>
          <w:trHeight w:val="28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общедоступными  библиотеками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учреждений на 100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аселения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28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учреждениями культурно-досугового типа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Учреждений на 100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.н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аселения</w:t>
            </w:r>
            <w:proofErr w:type="spellEnd"/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дошкольными образовательными учреждениями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мест на 1 000 детей дошкольного возраста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0277D">
        <w:trPr>
          <w:trHeight w:val="30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Число  дошкольных образовательных учреждений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54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Численность детей дошкольного возраста, посещающих дошкольные образовательные учреждения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52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Охват детей дошкольным образованием (в проценте от численности детей соответствующего возраста)       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4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Число  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среднеобщеобразовательных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учреждений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учреждений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6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Численность обучающихся в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среднеобщеобразовательных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учреждениях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70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Охват детей и подростков в возрасте от 7 лет до 18 лет общим образованием (в проценте от численности детей и подростков соответствующего возраста)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705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4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Фактический уровень платежей населения за жилье и коммунальные услуги</w:t>
            </w:r>
          </w:p>
        </w:tc>
        <w:tc>
          <w:tcPr>
            <w:tcW w:w="368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45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10277D" w:rsidRDefault="004F1F12">
            <w:pPr>
              <w:spacing w:after="0" w:line="240" w:lineRule="auto"/>
              <w:ind w:firstLine="20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Общая площадь жилых помещений, приходящаяся на 1 жителя  (на конец года)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375"/>
        </w:trPr>
        <w:tc>
          <w:tcPr>
            <w:tcW w:w="1530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8. Эффективность использования муниципального имущества муниципального образования городского округа  «Вуктыл»</w:t>
            </w:r>
          </w:p>
        </w:tc>
      </w:tr>
      <w:tr w:rsidR="0010277D">
        <w:trPr>
          <w:trHeight w:val="48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продажи имущества, находящегося в муниципальной собственности, в том числе от продажи земли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руб. 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0277D">
        <w:trPr>
          <w:trHeight w:val="540"/>
        </w:trPr>
        <w:tc>
          <w:tcPr>
            <w:tcW w:w="652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10277D" w:rsidRDefault="004F1F12">
            <w:pPr>
              <w:spacing w:after="0" w:line="240" w:lineRule="auto"/>
              <w:ind w:firstLine="31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Доходы от сдачи в аренду имущества, находящегося в муниципальной собственности, в том числе от сдачи в аренду земли</w:t>
            </w:r>
          </w:p>
        </w:tc>
        <w:tc>
          <w:tcPr>
            <w:tcW w:w="3685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277D" w:rsidRDefault="004F1F12">
            <w:pPr>
              <w:spacing w:after="0" w:line="240" w:lineRule="auto"/>
              <w:jc w:val="center"/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тыс. руб.</w:t>
            </w: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10277D" w:rsidRDefault="001027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</w:tbl>
    <w:p w:rsidR="0010277D" w:rsidRDefault="0010277D" w:rsidP="00D03F94"/>
    <w:sectPr w:rsidR="0010277D" w:rsidSect="00D03F94">
      <w:pgSz w:w="16838" w:h="11906" w:orient="landscape"/>
      <w:pgMar w:top="1559" w:right="1134" w:bottom="851" w:left="85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F45C34"/>
    <w:multiLevelType w:val="multilevel"/>
    <w:tmpl w:val="F0245DBE"/>
    <w:lvl w:ilvl="0">
      <w:start w:val="1"/>
      <w:numFmt w:val="upperRoman"/>
      <w:pStyle w:val="2"/>
      <w:lvlText w:val="%1."/>
      <w:lvlJc w:val="right"/>
      <w:pPr>
        <w:tabs>
          <w:tab w:val="num" w:pos="3725"/>
        </w:tabs>
        <w:ind w:left="3725" w:hanging="18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5DA54673"/>
    <w:multiLevelType w:val="multilevel"/>
    <w:tmpl w:val="E2B4D780"/>
    <w:lvl w:ilvl="0">
      <w:start w:val="1"/>
      <w:numFmt w:val="decimal"/>
      <w:lvlText w:val="%1."/>
      <w:lvlJc w:val="left"/>
      <w:pPr>
        <w:ind w:left="1744" w:hanging="1035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0277D"/>
    <w:rsid w:val="0010277D"/>
    <w:rsid w:val="004F1F12"/>
    <w:rsid w:val="005A4480"/>
    <w:rsid w:val="00640313"/>
    <w:rsid w:val="008D69FE"/>
    <w:rsid w:val="00D0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02B1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9D633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qFormat/>
    <w:rsid w:val="00F60B82"/>
    <w:pPr>
      <w:keepNext/>
      <w:numPr>
        <w:numId w:val="1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qFormat/>
    <w:rsid w:val="00F60B8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AB6424"/>
    <w:rPr>
      <w:rFonts w:ascii="Tahoma" w:hAnsi="Tahoma" w:cs="Tahoma"/>
      <w:sz w:val="16"/>
      <w:szCs w:val="16"/>
    </w:rPr>
  </w:style>
  <w:style w:type="character" w:styleId="a4">
    <w:name w:val="Subtle Emphasis"/>
    <w:basedOn w:val="a0"/>
    <w:uiPriority w:val="19"/>
    <w:qFormat/>
    <w:rsid w:val="003441E1"/>
    <w:rPr>
      <w:i/>
      <w:iCs/>
      <w:color w:val="808080" w:themeColor="text1" w:themeTint="7F"/>
    </w:rPr>
  </w:style>
  <w:style w:type="character" w:styleId="a5">
    <w:name w:val="Intense Emphasis"/>
    <w:basedOn w:val="a0"/>
    <w:uiPriority w:val="21"/>
    <w:qFormat/>
    <w:rsid w:val="00A73612"/>
    <w:rPr>
      <w:b/>
      <w:bCs/>
      <w:i/>
      <w:iCs/>
      <w:color w:val="4F81BD" w:themeColor="accent1"/>
    </w:rPr>
  </w:style>
  <w:style w:type="character" w:customStyle="1" w:styleId="a6">
    <w:name w:val="Основной текст Знак"/>
    <w:basedOn w:val="a0"/>
    <w:qFormat/>
    <w:rsid w:val="008F0BD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uiPriority w:val="9"/>
    <w:qFormat/>
    <w:rsid w:val="009D633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">
    <w:name w:val="Основной текст 2 Знак"/>
    <w:basedOn w:val="a0"/>
    <w:link w:val="22"/>
    <w:uiPriority w:val="99"/>
    <w:semiHidden/>
    <w:qFormat/>
    <w:rsid w:val="009D633A"/>
  </w:style>
  <w:style w:type="character" w:customStyle="1" w:styleId="ListLabel1">
    <w:name w:val="ListLabel 1"/>
    <w:qFormat/>
    <w:rPr>
      <w:rFonts w:eastAsia="Calibri" w:cs="Times New Roman"/>
      <w:i w:val="0"/>
    </w:rPr>
  </w:style>
  <w:style w:type="character" w:customStyle="1" w:styleId="ListLabel2">
    <w:name w:val="ListLabel 2"/>
    <w:qFormat/>
    <w:rPr>
      <w:rFonts w:eastAsia="Calibri" w:cs="Times New Roman"/>
      <w:i w:val="0"/>
    </w:rPr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8F0BD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List Paragraph"/>
    <w:basedOn w:val="a"/>
    <w:uiPriority w:val="34"/>
    <w:qFormat/>
    <w:rsid w:val="00555EF9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AB642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E3245C"/>
  </w:style>
  <w:style w:type="paragraph" w:customStyle="1" w:styleId="ConsPlusNormal">
    <w:name w:val="ConsPlusNormal"/>
    <w:qFormat/>
    <w:rsid w:val="0051324C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Nonformat">
    <w:name w:val="ConsPlusNonformat"/>
    <w:uiPriority w:val="99"/>
    <w:qFormat/>
    <w:rsid w:val="005C423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2">
    <w:name w:val="Body Text 2"/>
    <w:basedOn w:val="a"/>
    <w:link w:val="21"/>
    <w:uiPriority w:val="99"/>
    <w:semiHidden/>
    <w:unhideWhenUsed/>
    <w:qFormat/>
    <w:rsid w:val="009D633A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8BFE47216EE5B0DFDCCF0E987C507F8052A0690174B4220BEA4842A00FEA8753729048845C6DF1DA3851F846w4P4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A5E4C-58A6-43EF-95D3-E7DC55FE9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1721</Words>
  <Characters>9810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Тарасова Екатерина Игоревна</dc:creator>
  <dc:description/>
  <cp:lastModifiedBy>delo1</cp:lastModifiedBy>
  <cp:revision>12</cp:revision>
  <cp:lastPrinted>2018-10-24T17:18:00Z</cp:lastPrinted>
  <dcterms:created xsi:type="dcterms:W3CDTF">2018-09-27T06:45:00Z</dcterms:created>
  <dcterms:modified xsi:type="dcterms:W3CDTF">2018-10-28T13:22:00Z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