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2D" w:rsidRDefault="0002232D" w:rsidP="0002232D">
      <w:pPr>
        <w:keepNext/>
        <w:autoSpaceDN w:val="0"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ПОСТАНОВЛЕНИЕ</w:t>
      </w:r>
    </w:p>
    <w:p w:rsidR="0002232D" w:rsidRDefault="0002232D" w:rsidP="0002232D">
      <w:pPr>
        <w:keepNext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администрации городского округа «Вуктыл»</w:t>
      </w:r>
    </w:p>
    <w:p w:rsidR="0002232D" w:rsidRDefault="0002232D" w:rsidP="0002232D">
      <w:pPr>
        <w:keepNext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от 25 октября 2018 г. № 10/1222</w:t>
      </w:r>
    </w:p>
    <w:p w:rsidR="0002232D" w:rsidRDefault="0002232D" w:rsidP="0002232D">
      <w:pPr>
        <w:keepNext/>
        <w:jc w:val="center"/>
        <w:outlineLvl w:val="0"/>
        <w:rPr>
          <w:b/>
          <w:bCs/>
          <w:kern w:val="32"/>
        </w:rPr>
      </w:pPr>
    </w:p>
    <w:p w:rsidR="00227300" w:rsidRDefault="0002232D" w:rsidP="0002232D">
      <w:pPr>
        <w:ind w:right="425"/>
        <w:jc w:val="center"/>
        <w:rPr>
          <w:b/>
          <w:sz w:val="34"/>
          <w:szCs w:val="34"/>
        </w:rPr>
      </w:pPr>
      <w:r w:rsidRPr="00DC4543">
        <w:rPr>
          <w:b/>
          <w:bCs/>
        </w:rPr>
        <w:t xml:space="preserve">О внесении изменений в постановление администрации городского округа «Вуктыл» от 29 июня 2018 года № 06/752 «Об утверждении Положения об оплате труда работников 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</w:t>
      </w:r>
      <w:r w:rsidRPr="008817E8">
        <w:rPr>
          <w:b/>
          <w:bCs/>
        </w:rPr>
        <w:t>«Вуктыл»</w:t>
      </w:r>
    </w:p>
    <w:p w:rsidR="002E4DBF" w:rsidRPr="00DC4543" w:rsidRDefault="002E4DBF">
      <w:pPr>
        <w:tabs>
          <w:tab w:val="left" w:pos="4680"/>
        </w:tabs>
        <w:ind w:right="4494"/>
        <w:jc w:val="both"/>
        <w:rPr>
          <w:b/>
          <w:bCs/>
          <w:sz w:val="48"/>
          <w:szCs w:val="48"/>
        </w:rPr>
      </w:pPr>
    </w:p>
    <w:p w:rsidR="0089636C" w:rsidRDefault="00A72130">
      <w:pPr>
        <w:ind w:firstLine="708"/>
        <w:jc w:val="both"/>
        <w:rPr>
          <w:szCs w:val="28"/>
        </w:rPr>
      </w:pPr>
      <w:proofErr w:type="gramStart"/>
      <w:r w:rsidRPr="00DC4543">
        <w:rPr>
          <w:szCs w:val="28"/>
        </w:rPr>
        <w:t xml:space="preserve">На основании постановления Правительства Республики Коми </w:t>
      </w:r>
      <w:r w:rsidRPr="00DC4543">
        <w:t>от 20 января 2010 года № 14 «Об оплате труда работников государственных бюджетных, автономных и казенных учреждений Республики Коми»</w:t>
      </w:r>
      <w:r w:rsidR="0085665A">
        <w:t>,</w:t>
      </w:r>
      <w:r w:rsidR="00CC417D">
        <w:t xml:space="preserve"> </w:t>
      </w:r>
      <w:r w:rsidR="00926A84" w:rsidRPr="00DC4543">
        <w:t xml:space="preserve">приказа Министерства образования, науки и молодежной политики Республики Коми от </w:t>
      </w:r>
      <w:r w:rsidR="00CC417D">
        <w:t>28 июн</w:t>
      </w:r>
      <w:r w:rsidR="00926A84" w:rsidRPr="00DC4543">
        <w:t xml:space="preserve">я 2018 года № 259-п «Об </w:t>
      </w:r>
      <w:r w:rsidR="00926A84" w:rsidRPr="00DC4543">
        <w:rPr>
          <w:bCs/>
        </w:rPr>
        <w:t>утверждении Положения об оплате труда работников государственных организаций</w:t>
      </w:r>
      <w:r w:rsidRPr="00DC4543">
        <w:rPr>
          <w:szCs w:val="28"/>
        </w:rPr>
        <w:t xml:space="preserve"> </w:t>
      </w:r>
      <w:r w:rsidR="00926A84" w:rsidRPr="00DC4543">
        <w:t>Республики Коми, в отношении которых Министерство образования, науки и молодежной политики Республики</w:t>
      </w:r>
      <w:proofErr w:type="gramEnd"/>
      <w:r w:rsidR="00926A84" w:rsidRPr="00DC4543">
        <w:t xml:space="preserve"> Коми осуществляет функции и полномочия учредителя»</w:t>
      </w:r>
      <w:r w:rsidR="00926A84" w:rsidRPr="00DC4543">
        <w:rPr>
          <w:szCs w:val="28"/>
        </w:rPr>
        <w:t xml:space="preserve"> </w:t>
      </w:r>
      <w:r w:rsidRPr="00DC4543">
        <w:rPr>
          <w:szCs w:val="28"/>
        </w:rPr>
        <w:t xml:space="preserve">и в целях усиления заинтересованности руководителей и специалистов </w:t>
      </w:r>
      <w:r w:rsidRPr="00DC4543">
        <w:rPr>
          <w:bCs/>
        </w:rPr>
        <w:t xml:space="preserve">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 </w:t>
      </w:r>
      <w:r w:rsidRPr="00DC4543">
        <w:rPr>
          <w:szCs w:val="28"/>
        </w:rPr>
        <w:t>в повышении эффективности труда, улучшении качества оказываемых ими услуг и росте квалификации специалистов администрация городского округа «Вуктыл» постановляет:</w:t>
      </w:r>
    </w:p>
    <w:p w:rsidR="0089636C" w:rsidRDefault="00926A84" w:rsidP="0089636C">
      <w:pPr>
        <w:ind w:firstLine="708"/>
        <w:jc w:val="both"/>
        <w:rPr>
          <w:szCs w:val="28"/>
        </w:rPr>
      </w:pPr>
      <w:r w:rsidRPr="00DC4543">
        <w:t xml:space="preserve">1. Внести в </w:t>
      </w:r>
      <w:r w:rsidRPr="00DC4543">
        <w:rPr>
          <w:bCs/>
        </w:rPr>
        <w:t>постановление администрации городского округа «Вуктыл» от 29 июня 2018 года № 06/752 «Об утверждении Положения об оплате труда работников муниципальных бюджетных образовательных организаций, учреждений дополнительного образования в сфере образования, культуры, физической культуры и спорта городского округа «Вуктыл»</w:t>
      </w:r>
      <w:r w:rsidRPr="00DC4543">
        <w:t xml:space="preserve"> следующие изменения:</w:t>
      </w:r>
      <w:r w:rsidR="0089636C" w:rsidRPr="0089636C">
        <w:rPr>
          <w:szCs w:val="28"/>
        </w:rPr>
        <w:t xml:space="preserve"> </w:t>
      </w:r>
    </w:p>
    <w:p w:rsidR="0089636C" w:rsidRPr="006E0CE1" w:rsidRDefault="0089636C" w:rsidP="0089636C">
      <w:pPr>
        <w:ind w:firstLine="708"/>
        <w:jc w:val="both"/>
        <w:rPr>
          <w:szCs w:val="28"/>
        </w:rPr>
      </w:pPr>
      <w:r w:rsidRPr="006E0CE1">
        <w:rPr>
          <w:szCs w:val="28"/>
        </w:rPr>
        <w:t>1) пункт 5 постановления изложить в следующей редакции:</w:t>
      </w:r>
    </w:p>
    <w:p w:rsidR="0089636C" w:rsidRDefault="0089636C" w:rsidP="0089636C">
      <w:pPr>
        <w:ind w:firstLine="708"/>
        <w:jc w:val="both"/>
      </w:pPr>
      <w:r w:rsidRPr="006E0CE1">
        <w:rPr>
          <w:szCs w:val="28"/>
        </w:rPr>
        <w:t>«5</w:t>
      </w:r>
      <w:r w:rsidR="006C4737">
        <w:rPr>
          <w:szCs w:val="28"/>
        </w:rPr>
        <w:t>.</w:t>
      </w:r>
      <w:r w:rsidRPr="006E0CE1">
        <w:rPr>
          <w:szCs w:val="28"/>
        </w:rPr>
        <w:t xml:space="preserve"> </w:t>
      </w:r>
      <w:proofErr w:type="gramStart"/>
      <w:r w:rsidRPr="006E0CE1">
        <w:t xml:space="preserve">Установить, что в Организации по согласованию с </w:t>
      </w:r>
      <w:r w:rsidRPr="006E0CE1">
        <w:rPr>
          <w:szCs w:val="28"/>
        </w:rPr>
        <w:t>Управлением образования</w:t>
      </w:r>
      <w:r w:rsidRPr="0089636C">
        <w:rPr>
          <w:szCs w:val="28"/>
        </w:rPr>
        <w:t xml:space="preserve"> администрации городского округа «Вуктыл», отделом культуры и национальной политики администрации городского округа «Вуктыл»,</w:t>
      </w:r>
      <w:r>
        <w:rPr>
          <w:szCs w:val="28"/>
        </w:rPr>
        <w:t xml:space="preserve"> сектором по физической культуре и спорту администрации городского округа «Вуктыл»</w:t>
      </w:r>
      <w:r w:rsidRPr="0089636C">
        <w:rPr>
          <w:szCs w:val="28"/>
        </w:rPr>
        <w:t xml:space="preserve"> </w:t>
      </w:r>
      <w:r>
        <w:t>при условии достаточности фондов оплаты труда должностные оклады (ставки заработной платы) работников могут быть равномерно увеличены (с учетом применения единого коэффициента увеличения должностных окладов (ставок заработной платы) по</w:t>
      </w:r>
      <w:proofErr w:type="gramEnd"/>
      <w:r>
        <w:t xml:space="preserve"> всем должностям работников, определенных штатным расписанием Организаций, за исключением руководителя Организаций, заместителя руководителя, главного бухгалтера). Указанное увеличение должностных окладов (ставок заработной платы) работников Организации устанавливается на основании соответствующего </w:t>
      </w:r>
      <w:r w:rsidR="006916DD">
        <w:t>распоряжения</w:t>
      </w:r>
      <w:r w:rsidRPr="006E0CE1">
        <w:t xml:space="preserve"> </w:t>
      </w:r>
      <w:r w:rsidR="006E0CE1" w:rsidRPr="006E0CE1">
        <w:t>Учредителя</w:t>
      </w:r>
      <w:proofErr w:type="gramStart"/>
      <w:r w:rsidRPr="006E0CE1">
        <w:t>.</w:t>
      </w:r>
      <w:r w:rsidR="006E0CE1">
        <w:t>»;</w:t>
      </w:r>
    </w:p>
    <w:p w:rsidR="006E0CE1" w:rsidRPr="00DC4543" w:rsidRDefault="006E0CE1" w:rsidP="006E0CE1">
      <w:pPr>
        <w:ind w:firstLine="708"/>
        <w:jc w:val="both"/>
        <w:rPr>
          <w:bCs/>
        </w:rPr>
      </w:pPr>
      <w:proofErr w:type="gramEnd"/>
      <w:r>
        <w:t xml:space="preserve">2) в </w:t>
      </w:r>
      <w:r>
        <w:rPr>
          <w:bCs/>
        </w:rPr>
        <w:t>П</w:t>
      </w:r>
      <w:r w:rsidRPr="00DC4543">
        <w:rPr>
          <w:bCs/>
        </w:rPr>
        <w:t>оложении об оплате труда работников муниципальных бюджетных образовательных организаций городского округа «Вуктыл», утвержденном постановлением (приложение):</w:t>
      </w:r>
    </w:p>
    <w:p w:rsidR="006E0CE1" w:rsidRDefault="006E0CE1" w:rsidP="006E0CE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</w:rPr>
      </w:pPr>
      <w:r w:rsidRPr="004C6A91">
        <w:rPr>
          <w:rFonts w:ascii="Times New Roman" w:hAnsi="Times New Roman" w:cs="Times New Roman"/>
        </w:rPr>
        <w:t>а)</w:t>
      </w:r>
      <w:r>
        <w:t xml:space="preserve"> </w:t>
      </w:r>
      <w:r w:rsidRPr="00DC4543">
        <w:rPr>
          <w:rFonts w:ascii="Times New Roman" w:hAnsi="Times New Roman" w:cs="Times New Roman"/>
          <w:bCs/>
        </w:rPr>
        <w:t xml:space="preserve">в разделе </w:t>
      </w:r>
      <w:r>
        <w:rPr>
          <w:rFonts w:ascii="Times New Roman" w:hAnsi="Times New Roman" w:cs="Times New Roman"/>
          <w:bCs/>
        </w:rPr>
        <w:t>2</w:t>
      </w:r>
      <w:r w:rsidRPr="00DC4543">
        <w:rPr>
          <w:rFonts w:ascii="Times New Roman" w:hAnsi="Times New Roman" w:cs="Times New Roman"/>
          <w:bCs/>
        </w:rPr>
        <w:t xml:space="preserve"> «</w:t>
      </w:r>
      <w:r w:rsidRPr="006E0CE1">
        <w:rPr>
          <w:rFonts w:ascii="Times New Roman" w:hAnsi="Times New Roman" w:cs="Times New Roman"/>
          <w:szCs w:val="28"/>
        </w:rPr>
        <w:t>Должностные оклады (ставки заработной платы) руководителей, заведующих, специалистов, служащих и рабочих организаций</w:t>
      </w:r>
      <w:r w:rsidRPr="00DC4543">
        <w:rPr>
          <w:rFonts w:ascii="Times New Roman" w:hAnsi="Times New Roman" w:cs="Times New Roman"/>
          <w:bCs/>
        </w:rPr>
        <w:t>»:</w:t>
      </w:r>
    </w:p>
    <w:p w:rsidR="006E0CE1" w:rsidRDefault="00915B56" w:rsidP="006E0CE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т</w:t>
      </w:r>
      <w:r w:rsidR="006E0CE1">
        <w:rPr>
          <w:rFonts w:ascii="Times New Roman" w:hAnsi="Times New Roman" w:cs="Times New Roman"/>
          <w:bCs/>
        </w:rPr>
        <w:t>аблиц</w:t>
      </w:r>
      <w:r>
        <w:rPr>
          <w:rFonts w:ascii="Times New Roman" w:hAnsi="Times New Roman" w:cs="Times New Roman"/>
          <w:bCs/>
        </w:rPr>
        <w:t>у</w:t>
      </w:r>
      <w:r w:rsidR="006C4737">
        <w:rPr>
          <w:rFonts w:ascii="Times New Roman" w:hAnsi="Times New Roman" w:cs="Times New Roman"/>
          <w:bCs/>
        </w:rPr>
        <w:t xml:space="preserve"> и приложения</w:t>
      </w:r>
      <w:r w:rsidR="006E0CE1">
        <w:rPr>
          <w:rFonts w:ascii="Times New Roman" w:hAnsi="Times New Roman" w:cs="Times New Roman"/>
          <w:bCs/>
        </w:rPr>
        <w:t xml:space="preserve"> пункта 1 изложить в следующей редакции:</w:t>
      </w:r>
    </w:p>
    <w:p w:rsidR="00915B56" w:rsidRDefault="006E0CE1" w:rsidP="006E0CE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2"/>
        <w:gridCol w:w="992"/>
        <w:gridCol w:w="992"/>
        <w:gridCol w:w="992"/>
        <w:gridCol w:w="851"/>
      </w:tblGrid>
      <w:tr w:rsidR="00915B56" w:rsidRPr="002D3F8A" w:rsidTr="009A76B7">
        <w:trPr>
          <w:trHeight w:val="9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№</w:t>
            </w:r>
          </w:p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proofErr w:type="gramStart"/>
            <w:r w:rsidRPr="002D3F8A">
              <w:t>п</w:t>
            </w:r>
            <w:proofErr w:type="gramEnd"/>
            <w:r w:rsidRPr="002D3F8A">
              <w:t>/п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outlineLvl w:val="2"/>
            </w:pPr>
          </w:p>
          <w:p w:rsidR="00915B56" w:rsidRPr="002D3F8A" w:rsidRDefault="00915B56" w:rsidP="007E08BE">
            <w:pPr>
              <w:autoSpaceDE w:val="0"/>
              <w:autoSpaceDN w:val="0"/>
              <w:adjustRightInd w:val="0"/>
              <w:outlineLvl w:val="2"/>
            </w:pPr>
            <w:r w:rsidRPr="002D3F8A">
              <w:t>Наименование должности и требования к квалификации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Должностной оклад (в рублях) в зависимости от группы по оплате труда руководителей</w:t>
            </w:r>
          </w:p>
        </w:tc>
      </w:tr>
      <w:tr w:rsidR="00915B56" w:rsidRPr="002D3F8A" w:rsidTr="009A76B7">
        <w:tc>
          <w:tcPr>
            <w:tcW w:w="567" w:type="dxa"/>
            <w:vMerge/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4962" w:type="dxa"/>
            <w:vMerge/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92" w:type="dxa"/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</w:t>
            </w:r>
          </w:p>
        </w:tc>
        <w:tc>
          <w:tcPr>
            <w:tcW w:w="992" w:type="dxa"/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II</w:t>
            </w:r>
          </w:p>
        </w:tc>
        <w:tc>
          <w:tcPr>
            <w:tcW w:w="992" w:type="dxa"/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III</w:t>
            </w:r>
          </w:p>
        </w:tc>
        <w:tc>
          <w:tcPr>
            <w:tcW w:w="851" w:type="dxa"/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IV</w:t>
            </w:r>
          </w:p>
        </w:tc>
      </w:tr>
      <w:tr w:rsidR="00915B56" w:rsidRPr="002D3F8A" w:rsidTr="009A76B7">
        <w:tc>
          <w:tcPr>
            <w:tcW w:w="567" w:type="dxa"/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1</w:t>
            </w:r>
          </w:p>
        </w:tc>
        <w:tc>
          <w:tcPr>
            <w:tcW w:w="4962" w:type="dxa"/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2</w:t>
            </w:r>
          </w:p>
        </w:tc>
        <w:tc>
          <w:tcPr>
            <w:tcW w:w="992" w:type="dxa"/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3</w:t>
            </w:r>
          </w:p>
        </w:tc>
        <w:tc>
          <w:tcPr>
            <w:tcW w:w="992" w:type="dxa"/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4</w:t>
            </w:r>
          </w:p>
        </w:tc>
        <w:tc>
          <w:tcPr>
            <w:tcW w:w="992" w:type="dxa"/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5</w:t>
            </w:r>
          </w:p>
        </w:tc>
        <w:tc>
          <w:tcPr>
            <w:tcW w:w="851" w:type="dxa"/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 w:rsidRPr="002D3F8A">
              <w:t>6</w:t>
            </w:r>
          </w:p>
        </w:tc>
      </w:tr>
      <w:tr w:rsidR="00915B56" w:rsidRPr="002D3F8A" w:rsidTr="009A76B7">
        <w:tc>
          <w:tcPr>
            <w:tcW w:w="567" w:type="dxa"/>
          </w:tcPr>
          <w:p w:rsidR="00915B56" w:rsidRPr="002D3F8A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1.</w:t>
            </w:r>
          </w:p>
        </w:tc>
        <w:tc>
          <w:tcPr>
            <w:tcW w:w="4962" w:type="dxa"/>
          </w:tcPr>
          <w:p w:rsidR="00915B56" w:rsidRPr="002D3F8A" w:rsidRDefault="00915B56" w:rsidP="009A76B7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Руководитель (директор, начальник, заведующий)</w:t>
            </w:r>
          </w:p>
        </w:tc>
        <w:tc>
          <w:tcPr>
            <w:tcW w:w="992" w:type="dxa"/>
          </w:tcPr>
          <w:p w:rsidR="00915B56" w:rsidRPr="002D3F8A" w:rsidRDefault="0040352A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13156</w:t>
            </w:r>
          </w:p>
        </w:tc>
        <w:tc>
          <w:tcPr>
            <w:tcW w:w="992" w:type="dxa"/>
          </w:tcPr>
          <w:p w:rsidR="00915B56" w:rsidRPr="002D3F8A" w:rsidRDefault="0040352A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12374</w:t>
            </w:r>
          </w:p>
        </w:tc>
        <w:tc>
          <w:tcPr>
            <w:tcW w:w="992" w:type="dxa"/>
          </w:tcPr>
          <w:p w:rsidR="00915B56" w:rsidRPr="002D3F8A" w:rsidRDefault="0040352A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11594</w:t>
            </w:r>
          </w:p>
        </w:tc>
        <w:tc>
          <w:tcPr>
            <w:tcW w:w="851" w:type="dxa"/>
          </w:tcPr>
          <w:p w:rsidR="00915B56" w:rsidRPr="002D3F8A" w:rsidRDefault="0040352A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10823</w:t>
            </w:r>
          </w:p>
        </w:tc>
      </w:tr>
      <w:tr w:rsidR="00915B56" w:rsidRPr="002D3F8A" w:rsidTr="009A76B7">
        <w:tc>
          <w:tcPr>
            <w:tcW w:w="567" w:type="dxa"/>
          </w:tcPr>
          <w:p w:rsidR="00915B56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lastRenderedPageBreak/>
              <w:t>2.</w:t>
            </w:r>
          </w:p>
        </w:tc>
        <w:tc>
          <w:tcPr>
            <w:tcW w:w="4962" w:type="dxa"/>
          </w:tcPr>
          <w:p w:rsidR="00915B56" w:rsidRDefault="00915B56" w:rsidP="009A76B7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Заместитель руководителя (директора, начальника, заведующего), главный бухгалтер</w:t>
            </w:r>
          </w:p>
        </w:tc>
        <w:tc>
          <w:tcPr>
            <w:tcW w:w="992" w:type="dxa"/>
          </w:tcPr>
          <w:p w:rsidR="00915B56" w:rsidRPr="002D3F8A" w:rsidRDefault="0040352A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11440</w:t>
            </w:r>
          </w:p>
        </w:tc>
        <w:tc>
          <w:tcPr>
            <w:tcW w:w="992" w:type="dxa"/>
          </w:tcPr>
          <w:p w:rsidR="00915B56" w:rsidRPr="002D3F8A" w:rsidRDefault="0040352A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10760</w:t>
            </w:r>
          </w:p>
        </w:tc>
        <w:tc>
          <w:tcPr>
            <w:tcW w:w="992" w:type="dxa"/>
          </w:tcPr>
          <w:p w:rsidR="00915B56" w:rsidRPr="002D3F8A" w:rsidRDefault="0040352A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10082</w:t>
            </w:r>
          </w:p>
        </w:tc>
        <w:tc>
          <w:tcPr>
            <w:tcW w:w="851" w:type="dxa"/>
          </w:tcPr>
          <w:p w:rsidR="00915B56" w:rsidRPr="002D3F8A" w:rsidRDefault="0040352A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9411</w:t>
            </w:r>
          </w:p>
        </w:tc>
      </w:tr>
      <w:tr w:rsidR="00915B56" w:rsidRPr="002D3F8A" w:rsidTr="009A76B7">
        <w:tc>
          <w:tcPr>
            <w:tcW w:w="567" w:type="dxa"/>
          </w:tcPr>
          <w:p w:rsidR="00915B56" w:rsidRDefault="00915B56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3.</w:t>
            </w:r>
          </w:p>
        </w:tc>
        <w:tc>
          <w:tcPr>
            <w:tcW w:w="4962" w:type="dxa"/>
          </w:tcPr>
          <w:p w:rsidR="00915B56" w:rsidRDefault="009A76B7" w:rsidP="009A76B7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Заведующий библиотекой Организации</w:t>
            </w:r>
          </w:p>
        </w:tc>
        <w:tc>
          <w:tcPr>
            <w:tcW w:w="992" w:type="dxa"/>
          </w:tcPr>
          <w:p w:rsidR="00915B56" w:rsidRPr="002D3F8A" w:rsidRDefault="009A76B7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10400</w:t>
            </w:r>
          </w:p>
        </w:tc>
        <w:tc>
          <w:tcPr>
            <w:tcW w:w="992" w:type="dxa"/>
          </w:tcPr>
          <w:p w:rsidR="00915B56" w:rsidRPr="002D3F8A" w:rsidRDefault="009A76B7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9782</w:t>
            </w:r>
          </w:p>
        </w:tc>
        <w:tc>
          <w:tcPr>
            <w:tcW w:w="992" w:type="dxa"/>
          </w:tcPr>
          <w:p w:rsidR="00915B56" w:rsidRPr="002D3F8A" w:rsidRDefault="009A76B7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9165</w:t>
            </w:r>
          </w:p>
        </w:tc>
        <w:tc>
          <w:tcPr>
            <w:tcW w:w="851" w:type="dxa"/>
          </w:tcPr>
          <w:p w:rsidR="00915B56" w:rsidRPr="002D3F8A" w:rsidRDefault="009A76B7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8555</w:t>
            </w:r>
          </w:p>
        </w:tc>
      </w:tr>
      <w:tr w:rsidR="009A76B7" w:rsidRPr="002D3F8A" w:rsidTr="009A76B7">
        <w:tc>
          <w:tcPr>
            <w:tcW w:w="567" w:type="dxa"/>
          </w:tcPr>
          <w:p w:rsidR="009A76B7" w:rsidRDefault="009A76B7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4.</w:t>
            </w:r>
          </w:p>
        </w:tc>
        <w:tc>
          <w:tcPr>
            <w:tcW w:w="4962" w:type="dxa"/>
          </w:tcPr>
          <w:p w:rsidR="009A76B7" w:rsidRDefault="009A76B7" w:rsidP="009A76B7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</w:t>
            </w:r>
          </w:p>
        </w:tc>
        <w:tc>
          <w:tcPr>
            <w:tcW w:w="992" w:type="dxa"/>
          </w:tcPr>
          <w:p w:rsidR="009A76B7" w:rsidRDefault="009A76B7" w:rsidP="007E08BE">
            <w:pPr>
              <w:jc w:val="center"/>
            </w:pPr>
            <w:r>
              <w:t>10000</w:t>
            </w:r>
          </w:p>
        </w:tc>
        <w:tc>
          <w:tcPr>
            <w:tcW w:w="992" w:type="dxa"/>
          </w:tcPr>
          <w:p w:rsidR="009A76B7" w:rsidRDefault="009A76B7" w:rsidP="007E08BE">
            <w:pPr>
              <w:jc w:val="center"/>
            </w:pPr>
            <w:r>
              <w:t>9406</w:t>
            </w:r>
          </w:p>
        </w:tc>
        <w:tc>
          <w:tcPr>
            <w:tcW w:w="992" w:type="dxa"/>
          </w:tcPr>
          <w:p w:rsidR="009A76B7" w:rsidRDefault="009A76B7" w:rsidP="007E08BE">
            <w:pPr>
              <w:jc w:val="center"/>
            </w:pPr>
            <w:r>
              <w:t>8812</w:t>
            </w:r>
          </w:p>
        </w:tc>
        <w:tc>
          <w:tcPr>
            <w:tcW w:w="851" w:type="dxa"/>
          </w:tcPr>
          <w:p w:rsidR="009A76B7" w:rsidRDefault="009A76B7" w:rsidP="007E08BE">
            <w:pPr>
              <w:jc w:val="center"/>
            </w:pPr>
            <w:r>
              <w:t>8226</w:t>
            </w:r>
          </w:p>
        </w:tc>
      </w:tr>
      <w:tr w:rsidR="009A76B7" w:rsidRPr="002D3F8A" w:rsidTr="009A76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B7" w:rsidRDefault="009A76B7" w:rsidP="007E08BE">
            <w:pPr>
              <w:autoSpaceDE w:val="0"/>
              <w:autoSpaceDN w:val="0"/>
              <w:adjustRightInd w:val="0"/>
              <w:jc w:val="center"/>
              <w:outlineLvl w:val="2"/>
            </w:pPr>
            <w:r>
              <w:t>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B7" w:rsidRDefault="009A76B7" w:rsidP="004C6A91">
            <w:pPr>
              <w:autoSpaceDE w:val="0"/>
              <w:autoSpaceDN w:val="0"/>
              <w:adjustRightInd w:val="0"/>
              <w:jc w:val="both"/>
              <w:outlineLvl w:val="2"/>
            </w:pPr>
            <w:proofErr w:type="gramStart"/>
            <w: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</w:t>
            </w:r>
            <w:r w:rsidR="004C6A91">
              <w:t>полнительного образования детей</w:t>
            </w:r>
            <w:hyperlink r:id="rId6">
              <w:r w:rsidRPr="006C4737">
                <w:rPr>
                  <w:rStyle w:val="af9"/>
                  <w:color w:val="auto"/>
                  <w:u w:val="none"/>
                </w:rPr>
                <w:t>*</w:t>
              </w:r>
            </w:hyperlink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B7" w:rsidRDefault="009A76B7" w:rsidP="007E08BE">
            <w:pPr>
              <w:jc w:val="center"/>
            </w:pPr>
            <w:r>
              <w:t>9400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B7" w:rsidRDefault="009A76B7" w:rsidP="007E08BE">
            <w:pPr>
              <w:jc w:val="center"/>
            </w:pPr>
            <w:r>
              <w:t>8842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B7" w:rsidRDefault="009A76B7" w:rsidP="007E08BE">
            <w:pPr>
              <w:jc w:val="center"/>
            </w:pPr>
            <w:r>
              <w:t>8284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6B7" w:rsidRDefault="009A76B7" w:rsidP="007E08BE">
            <w:pPr>
              <w:jc w:val="center"/>
            </w:pPr>
            <w:r>
              <w:t>7732</w:t>
            </w:r>
          </w:p>
        </w:tc>
      </w:tr>
    </w:tbl>
    <w:p w:rsidR="006C4737" w:rsidRDefault="006C4737" w:rsidP="006C4737">
      <w:pPr>
        <w:pStyle w:val="ConsPlusNormal"/>
        <w:ind w:firstLine="708"/>
        <w:contextualSpacing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Примечание:</w:t>
      </w:r>
    </w:p>
    <w:p w:rsidR="006E0CE1" w:rsidRDefault="006C4737" w:rsidP="006C4737">
      <w:pPr>
        <w:pStyle w:val="ConsPlusNormal"/>
        <w:ind w:firstLine="708"/>
        <w:contextualSpacing/>
        <w:rPr>
          <w:rFonts w:ascii="Times New Roman" w:hAnsi="Times New Roman" w:cs="Times New Roman"/>
          <w:bCs/>
        </w:rPr>
      </w:pPr>
      <w:r w:rsidRPr="006C4737">
        <w:rPr>
          <w:rFonts w:ascii="Times New Roman" w:hAnsi="Times New Roman" w:cs="Times New Roman"/>
          <w:bCs/>
        </w:rPr>
        <w:t>*</w:t>
      </w:r>
      <w:r>
        <w:rPr>
          <w:rFonts w:ascii="Times New Roman" w:hAnsi="Times New Roman" w:cs="Times New Roman"/>
          <w:bCs/>
        </w:rPr>
        <w:t xml:space="preserve"> Кроме должностей руководителей структурных подразделений, отнесенных </w:t>
      </w:r>
      <w:proofErr w:type="gramStart"/>
      <w:r>
        <w:rPr>
          <w:rFonts w:ascii="Times New Roman" w:hAnsi="Times New Roman" w:cs="Times New Roman"/>
          <w:bCs/>
        </w:rPr>
        <w:t>ко</w:t>
      </w:r>
      <w:proofErr w:type="gramEnd"/>
      <w:r>
        <w:rPr>
          <w:rFonts w:ascii="Times New Roman" w:hAnsi="Times New Roman" w:cs="Times New Roman"/>
          <w:bCs/>
        </w:rPr>
        <w:t xml:space="preserve"> квалификационному уровню.</w:t>
      </w:r>
      <w:r w:rsidR="006E0CE1">
        <w:rPr>
          <w:rFonts w:ascii="Times New Roman" w:hAnsi="Times New Roman" w:cs="Times New Roman"/>
          <w:bCs/>
        </w:rPr>
        <w:t>»;</w:t>
      </w:r>
    </w:p>
    <w:p w:rsidR="006E0CE1" w:rsidRDefault="000B0AC6" w:rsidP="0089636C">
      <w:pPr>
        <w:ind w:firstLine="708"/>
        <w:jc w:val="both"/>
      </w:pPr>
      <w:r>
        <w:t xml:space="preserve">б) абзацы </w:t>
      </w:r>
      <w:r w:rsidR="00444166">
        <w:t>третий</w:t>
      </w:r>
      <w:r>
        <w:t xml:space="preserve"> и </w:t>
      </w:r>
      <w:r w:rsidR="00444166">
        <w:t>четвертый</w:t>
      </w:r>
      <w:r>
        <w:t xml:space="preserve"> пункта 10 раздела 5 «</w:t>
      </w:r>
      <w:r w:rsidRPr="000B0AC6">
        <w:rPr>
          <w:szCs w:val="28"/>
        </w:rPr>
        <w:t>Выплаты стимулирующего характера работникам Организаций</w:t>
      </w:r>
      <w:r>
        <w:t>» изложить в следующей редакции:</w:t>
      </w:r>
    </w:p>
    <w:p w:rsidR="000B0AC6" w:rsidRPr="000B0AC6" w:rsidRDefault="000B0AC6" w:rsidP="000B0A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0B0AC6">
        <w:rPr>
          <w:rFonts w:ascii="Times New Roman" w:hAnsi="Times New Roman" w:cs="Times New Roman"/>
          <w:szCs w:val="28"/>
        </w:rPr>
        <w:t xml:space="preserve">«Выплаты стимулирующего характера руководителям Организаций устанавливаются </w:t>
      </w:r>
      <w:r>
        <w:rPr>
          <w:rFonts w:ascii="Times New Roman" w:hAnsi="Times New Roman" w:cs="Times New Roman"/>
          <w:szCs w:val="28"/>
        </w:rPr>
        <w:t>распоряжением</w:t>
      </w:r>
      <w:r w:rsidRPr="000B0AC6">
        <w:rPr>
          <w:rFonts w:ascii="Times New Roman" w:hAnsi="Times New Roman" w:cs="Times New Roman"/>
          <w:szCs w:val="28"/>
        </w:rPr>
        <w:t xml:space="preserve"> </w:t>
      </w:r>
      <w:r w:rsidR="00FF745C">
        <w:rPr>
          <w:rFonts w:ascii="Times New Roman" w:hAnsi="Times New Roman" w:cs="Times New Roman"/>
          <w:szCs w:val="28"/>
        </w:rPr>
        <w:t>администрации городского округа «Вуктыл»</w:t>
      </w:r>
      <w:r w:rsidR="005E6CC9">
        <w:rPr>
          <w:rFonts w:ascii="Times New Roman" w:hAnsi="Times New Roman" w:cs="Times New Roman"/>
          <w:szCs w:val="28"/>
        </w:rPr>
        <w:t xml:space="preserve"> по согласованию с </w:t>
      </w:r>
      <w:r w:rsidR="005E6CC9" w:rsidRPr="005E6CC9">
        <w:rPr>
          <w:rFonts w:ascii="Times New Roman" w:hAnsi="Times New Roman" w:cs="Times New Roman"/>
          <w:szCs w:val="28"/>
        </w:rPr>
        <w:t>Управлением образования администрации городского округа «Вуктыл», отделом культуры и национальной политики администрации городского округа «Вуктыл»</w:t>
      </w:r>
      <w:r w:rsidRPr="000B0AC6">
        <w:rPr>
          <w:rFonts w:ascii="Times New Roman" w:hAnsi="Times New Roman" w:cs="Times New Roman"/>
          <w:szCs w:val="28"/>
        </w:rPr>
        <w:t xml:space="preserve"> с учетом </w:t>
      </w:r>
      <w:proofErr w:type="gramStart"/>
      <w:r w:rsidRPr="000B0AC6">
        <w:rPr>
          <w:rFonts w:ascii="Times New Roman" w:hAnsi="Times New Roman" w:cs="Times New Roman"/>
          <w:szCs w:val="28"/>
        </w:rPr>
        <w:t>достижения показателей эффективности деятельности организации</w:t>
      </w:r>
      <w:proofErr w:type="gramEnd"/>
      <w:r w:rsidRPr="000B0AC6">
        <w:rPr>
          <w:rFonts w:ascii="Times New Roman" w:hAnsi="Times New Roman" w:cs="Times New Roman"/>
          <w:szCs w:val="28"/>
        </w:rPr>
        <w:t xml:space="preserve"> и ее руководителя в пределах утвержденного планового фонда оплаты труда Организации.</w:t>
      </w:r>
    </w:p>
    <w:p w:rsidR="000B0AC6" w:rsidRDefault="000B0AC6" w:rsidP="000B0AC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Cs w:val="28"/>
        </w:rPr>
      </w:pPr>
      <w:r w:rsidRPr="002D5065">
        <w:rPr>
          <w:rFonts w:ascii="Times New Roman" w:hAnsi="Times New Roman" w:cs="Times New Roman"/>
          <w:szCs w:val="28"/>
        </w:rPr>
        <w:t xml:space="preserve">Показатели эффективности деятельности Организации и ее руководителя, в соответствии с которыми устанавливаются выплаты стимулирующего характера руководителям Организаций, определяются </w:t>
      </w:r>
      <w:r w:rsidR="002D5065" w:rsidRPr="002D5065">
        <w:rPr>
          <w:rFonts w:ascii="Times New Roman" w:hAnsi="Times New Roman" w:cs="Times New Roman"/>
          <w:szCs w:val="28"/>
        </w:rPr>
        <w:t>Управлением образования администрации городского округа «Вуктыл», отделом культуры и национальной политики администрации городского округа «Вуктыл» и утверждаются постановлением администрации городского округа «Вуктыл»</w:t>
      </w:r>
      <w:proofErr w:type="gramStart"/>
      <w:r w:rsidRPr="002D5065">
        <w:rPr>
          <w:rFonts w:ascii="Times New Roman" w:hAnsi="Times New Roman" w:cs="Times New Roman"/>
          <w:szCs w:val="28"/>
        </w:rPr>
        <w:t>.</w:t>
      </w:r>
      <w:r w:rsidR="00DC6C51" w:rsidRPr="002D5065">
        <w:rPr>
          <w:rFonts w:ascii="Times New Roman" w:hAnsi="Times New Roman" w:cs="Times New Roman"/>
          <w:szCs w:val="28"/>
        </w:rPr>
        <w:t>»</w:t>
      </w:r>
      <w:proofErr w:type="gramEnd"/>
      <w:r w:rsidR="00DC6C51" w:rsidRPr="002D5065">
        <w:rPr>
          <w:rFonts w:ascii="Times New Roman" w:hAnsi="Times New Roman" w:cs="Times New Roman"/>
          <w:szCs w:val="28"/>
        </w:rPr>
        <w:t>;</w:t>
      </w:r>
    </w:p>
    <w:p w:rsidR="002D5065" w:rsidRDefault="00327F7E" w:rsidP="00DF159C">
      <w:pPr>
        <w:ind w:firstLine="708"/>
        <w:jc w:val="both"/>
      </w:pPr>
      <w:r w:rsidRPr="002D5065">
        <w:t xml:space="preserve">в) </w:t>
      </w:r>
      <w:r w:rsidR="005E6CC9" w:rsidRPr="002D5065">
        <w:t>в разделе 7 «</w:t>
      </w:r>
      <w:r w:rsidR="005E6CC9" w:rsidRPr="002D5065">
        <w:rPr>
          <w:bCs/>
        </w:rPr>
        <w:t>Порядок и условия</w:t>
      </w:r>
      <w:r w:rsidR="00DF159C" w:rsidRPr="002D5065">
        <w:rPr>
          <w:bCs/>
        </w:rPr>
        <w:t xml:space="preserve"> </w:t>
      </w:r>
      <w:r w:rsidR="005E6CC9" w:rsidRPr="002D5065">
        <w:rPr>
          <w:bCs/>
        </w:rPr>
        <w:t>оплаты труда тренеров - преподавателей Организаций, осуществляющих деятельность в области физической культуры и спорта</w:t>
      </w:r>
      <w:r w:rsidR="005E6CC9" w:rsidRPr="002D5065">
        <w:t>»</w:t>
      </w:r>
      <w:r w:rsidR="002D5065">
        <w:t>:</w:t>
      </w:r>
    </w:p>
    <w:p w:rsidR="000B0AC6" w:rsidRDefault="002D5065" w:rsidP="00DF159C">
      <w:pPr>
        <w:ind w:firstLine="708"/>
        <w:jc w:val="both"/>
      </w:pPr>
      <w:r>
        <w:t xml:space="preserve">абзац </w:t>
      </w:r>
      <w:r w:rsidR="00E035B4">
        <w:t>второй</w:t>
      </w:r>
      <w:r>
        <w:t xml:space="preserve"> пункта 1 изложить в следующей редакции:</w:t>
      </w:r>
    </w:p>
    <w:p w:rsidR="002D5065" w:rsidRDefault="002D5065" w:rsidP="002D5065">
      <w:pPr>
        <w:ind w:firstLine="720"/>
        <w:jc w:val="both"/>
        <w:rPr>
          <w:bCs/>
        </w:rPr>
      </w:pPr>
      <w:r>
        <w:t>«</w:t>
      </w:r>
      <w:r>
        <w:rPr>
          <w:bCs/>
        </w:rPr>
        <w:t xml:space="preserve">Определение условий оплаты труда тренеров - преподавателей в зависимости от объема недельной </w:t>
      </w:r>
      <w:proofErr w:type="gramStart"/>
      <w:r>
        <w:rPr>
          <w:bCs/>
        </w:rPr>
        <w:t>учебно - тренировочной</w:t>
      </w:r>
      <w:proofErr w:type="gramEnd"/>
      <w:r>
        <w:rPr>
          <w:bCs/>
        </w:rPr>
        <w:t xml:space="preserve"> нагрузки или по нормативу за подготовку одного занимающегося на данных этапах многолетней подготовки обучающихся определяется образовательной </w:t>
      </w:r>
      <w:r>
        <w:t>организацией</w:t>
      </w:r>
      <w:r>
        <w:rPr>
          <w:bCs/>
        </w:rPr>
        <w:t>, осуществляющей деятельность в области физической культуры и спорта, по согласованию руководителем администрации городского округа «Вуктыл».»;</w:t>
      </w:r>
    </w:p>
    <w:p w:rsidR="002D5065" w:rsidRDefault="002D5065" w:rsidP="002D5065">
      <w:pPr>
        <w:ind w:firstLine="708"/>
        <w:jc w:val="both"/>
      </w:pPr>
      <w:r>
        <w:rPr>
          <w:bCs/>
        </w:rPr>
        <w:t xml:space="preserve">абзацы </w:t>
      </w:r>
      <w:r w:rsidR="00E035B4">
        <w:rPr>
          <w:bCs/>
        </w:rPr>
        <w:t>второй</w:t>
      </w:r>
      <w:r>
        <w:rPr>
          <w:bCs/>
        </w:rPr>
        <w:t xml:space="preserve"> и </w:t>
      </w:r>
      <w:r w:rsidR="00E035B4">
        <w:rPr>
          <w:bCs/>
        </w:rPr>
        <w:t>третий</w:t>
      </w:r>
      <w:r>
        <w:rPr>
          <w:bCs/>
        </w:rPr>
        <w:t xml:space="preserve"> пункта 4 </w:t>
      </w:r>
      <w:r>
        <w:t>изложить в следующей редакции:</w:t>
      </w:r>
    </w:p>
    <w:p w:rsidR="002D5065" w:rsidRDefault="002D5065" w:rsidP="002D5065">
      <w:pPr>
        <w:ind w:firstLine="720"/>
        <w:jc w:val="both"/>
        <w:rPr>
          <w:bCs/>
        </w:rPr>
      </w:pPr>
      <w:r>
        <w:t>«</w:t>
      </w:r>
      <w:r>
        <w:rPr>
          <w:bCs/>
        </w:rPr>
        <w:t xml:space="preserve">Объем </w:t>
      </w:r>
      <w:proofErr w:type="gramStart"/>
      <w:r>
        <w:rPr>
          <w:bCs/>
        </w:rPr>
        <w:t>учебно - тренировочной</w:t>
      </w:r>
      <w:proofErr w:type="gramEnd"/>
      <w:r>
        <w:rPr>
          <w:bCs/>
        </w:rPr>
        <w:t xml:space="preserve"> нагрузки на спортивно - оздоровительном этапе подготовки устанавливается по согласованию с руководителем администрации городского округа «Вуктыл».</w:t>
      </w:r>
    </w:p>
    <w:p w:rsidR="002D5065" w:rsidRDefault="002D5065" w:rsidP="002D5065">
      <w:pPr>
        <w:ind w:firstLine="720"/>
        <w:jc w:val="both"/>
        <w:rPr>
          <w:bCs/>
        </w:rPr>
      </w:pPr>
      <w:r>
        <w:rPr>
          <w:bCs/>
        </w:rPr>
        <w:t>Для учащихся с тяжелыми сочетанными дефектами и поражениями формирование групп по численности осуществляется в индивидуальном порядке по</w:t>
      </w:r>
      <w:r w:rsidR="006B1F6C">
        <w:rPr>
          <w:bCs/>
        </w:rPr>
        <w:t xml:space="preserve"> согласованию с</w:t>
      </w:r>
      <w:r>
        <w:rPr>
          <w:bCs/>
        </w:rPr>
        <w:t xml:space="preserve"> руководителем администрации городского округа «Вуктыл»</w:t>
      </w:r>
      <w:proofErr w:type="gramStart"/>
      <w:r>
        <w:rPr>
          <w:bCs/>
        </w:rPr>
        <w:t>.»</w:t>
      </w:r>
      <w:proofErr w:type="gramEnd"/>
      <w:r>
        <w:rPr>
          <w:bCs/>
        </w:rPr>
        <w:t>;</w:t>
      </w:r>
    </w:p>
    <w:p w:rsidR="0089636C" w:rsidRDefault="0035769E" w:rsidP="0035769E">
      <w:pPr>
        <w:spacing w:after="1" w:line="280" w:lineRule="atLeast"/>
        <w:ind w:firstLine="708"/>
        <w:jc w:val="both"/>
      </w:pPr>
      <w:r w:rsidRPr="0035769E">
        <w:t>г) пункт 5 раздела 8 «Порядок регулирования уровня заработной платы руководителя, заместителей руководителя и главного бухгалтера Организации»</w:t>
      </w:r>
      <w:r>
        <w:t xml:space="preserve"> изложить в следующей редакции:</w:t>
      </w:r>
    </w:p>
    <w:p w:rsidR="0035769E" w:rsidRDefault="0035769E" w:rsidP="0035769E">
      <w:pPr>
        <w:spacing w:after="1" w:line="280" w:lineRule="atLeast"/>
        <w:ind w:firstLine="720"/>
        <w:jc w:val="both"/>
      </w:pPr>
      <w:r>
        <w:lastRenderedPageBreak/>
        <w:t>«5. Предельное значение коэффициента кратности для руководителя, заместителей руководителя, главного бухгалтера Организации устанавливается в следующих размерах:</w:t>
      </w:r>
    </w:p>
    <w:p w:rsidR="0035769E" w:rsidRPr="0035769E" w:rsidRDefault="0035769E" w:rsidP="0035769E">
      <w:pPr>
        <w:spacing w:after="1" w:line="280" w:lineRule="atLeast"/>
        <w:ind w:firstLine="708"/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544"/>
        <w:gridCol w:w="2410"/>
        <w:gridCol w:w="2693"/>
      </w:tblGrid>
      <w:tr w:rsidR="009D75E6" w:rsidTr="00C02073">
        <w:tc>
          <w:tcPr>
            <w:tcW w:w="567" w:type="dxa"/>
            <w:vMerge w:val="restart"/>
            <w:shd w:val="clear" w:color="auto" w:fill="auto"/>
          </w:tcPr>
          <w:p w:rsidR="009D75E6" w:rsidRDefault="009D75E6" w:rsidP="0035769E">
            <w:pPr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>
              <w:t>Среднесписочная</w:t>
            </w:r>
            <w:r w:rsidRPr="00FB2E83">
              <w:t xml:space="preserve"> численность работников организации (чел.)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 w:rsidRPr="00FB2E83">
              <w:t>Коэффициент кратности</w:t>
            </w:r>
          </w:p>
        </w:tc>
      </w:tr>
      <w:tr w:rsidR="009D75E6" w:rsidTr="00C02073">
        <w:tc>
          <w:tcPr>
            <w:tcW w:w="567" w:type="dxa"/>
            <w:vMerge/>
            <w:shd w:val="clear" w:color="auto" w:fill="auto"/>
          </w:tcPr>
          <w:p w:rsidR="009D75E6" w:rsidRDefault="009D75E6" w:rsidP="0035769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 w:rsidRPr="00FB2E83">
              <w:t>для руководителя</w:t>
            </w:r>
          </w:p>
        </w:tc>
        <w:tc>
          <w:tcPr>
            <w:tcW w:w="2693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 w:rsidRPr="00FB2E83">
              <w:t>для заместителей руководителя, главного бухгалтера</w:t>
            </w:r>
          </w:p>
        </w:tc>
      </w:tr>
      <w:tr w:rsidR="009D75E6" w:rsidTr="00C02073">
        <w:tc>
          <w:tcPr>
            <w:tcW w:w="567" w:type="dxa"/>
            <w:shd w:val="clear" w:color="auto" w:fill="auto"/>
          </w:tcPr>
          <w:p w:rsidR="009D75E6" w:rsidRDefault="009D75E6" w:rsidP="0035769E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544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693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9D75E6" w:rsidTr="00C02073">
        <w:tc>
          <w:tcPr>
            <w:tcW w:w="567" w:type="dxa"/>
            <w:shd w:val="clear" w:color="auto" w:fill="auto"/>
          </w:tcPr>
          <w:p w:rsidR="009D75E6" w:rsidRDefault="009D75E6" w:rsidP="0035769E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544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both"/>
            </w:pPr>
            <w:r w:rsidRPr="00FB2E83">
              <w:t>До 50 (включительно)</w:t>
            </w:r>
          </w:p>
        </w:tc>
        <w:tc>
          <w:tcPr>
            <w:tcW w:w="2410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 w:rsidRPr="00FB2E83">
              <w:t>до 3,0</w:t>
            </w:r>
          </w:p>
        </w:tc>
        <w:tc>
          <w:tcPr>
            <w:tcW w:w="2693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 w:rsidRPr="00FB2E83">
              <w:t>до 2,5</w:t>
            </w:r>
          </w:p>
        </w:tc>
      </w:tr>
      <w:tr w:rsidR="009D75E6" w:rsidTr="00C02073">
        <w:tc>
          <w:tcPr>
            <w:tcW w:w="567" w:type="dxa"/>
            <w:shd w:val="clear" w:color="auto" w:fill="auto"/>
          </w:tcPr>
          <w:p w:rsidR="009D75E6" w:rsidRDefault="009D75E6" w:rsidP="0035769E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544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both"/>
            </w:pPr>
            <w:r w:rsidRPr="00FB2E83">
              <w:t>От 51 до 100 (включительно)</w:t>
            </w:r>
          </w:p>
        </w:tc>
        <w:tc>
          <w:tcPr>
            <w:tcW w:w="2410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 w:rsidRPr="00FB2E83">
              <w:t>до 3,5</w:t>
            </w:r>
          </w:p>
        </w:tc>
        <w:tc>
          <w:tcPr>
            <w:tcW w:w="2693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 w:rsidRPr="00FB2E83">
              <w:t>до 3,0</w:t>
            </w:r>
          </w:p>
        </w:tc>
      </w:tr>
      <w:tr w:rsidR="009D75E6" w:rsidTr="00C02073">
        <w:tc>
          <w:tcPr>
            <w:tcW w:w="567" w:type="dxa"/>
            <w:shd w:val="clear" w:color="auto" w:fill="auto"/>
          </w:tcPr>
          <w:p w:rsidR="009D75E6" w:rsidRDefault="009D75E6" w:rsidP="0035769E">
            <w:pPr>
              <w:autoSpaceDE w:val="0"/>
              <w:autoSpaceDN w:val="0"/>
              <w:adjustRightInd w:val="0"/>
              <w:jc w:val="center"/>
            </w:pPr>
            <w:r>
              <w:t>3.</w:t>
            </w:r>
          </w:p>
        </w:tc>
        <w:tc>
          <w:tcPr>
            <w:tcW w:w="3544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both"/>
            </w:pPr>
            <w:r w:rsidRPr="00FB2E83">
              <w:t>От 101 до 150 (включительно)</w:t>
            </w:r>
          </w:p>
        </w:tc>
        <w:tc>
          <w:tcPr>
            <w:tcW w:w="2410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 w:rsidRPr="00FB2E83">
              <w:t>до 4,0</w:t>
            </w:r>
          </w:p>
        </w:tc>
        <w:tc>
          <w:tcPr>
            <w:tcW w:w="2693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 w:rsidRPr="00FB2E83">
              <w:t>до 3,5</w:t>
            </w:r>
          </w:p>
        </w:tc>
      </w:tr>
      <w:tr w:rsidR="009D75E6" w:rsidTr="00C02073">
        <w:tc>
          <w:tcPr>
            <w:tcW w:w="567" w:type="dxa"/>
            <w:shd w:val="clear" w:color="auto" w:fill="auto"/>
          </w:tcPr>
          <w:p w:rsidR="009D75E6" w:rsidRDefault="009D75E6" w:rsidP="0035769E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544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both"/>
            </w:pPr>
            <w:r w:rsidRPr="00FB2E83">
              <w:t>От 151 до 200 (включительно)</w:t>
            </w:r>
          </w:p>
        </w:tc>
        <w:tc>
          <w:tcPr>
            <w:tcW w:w="2410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 w:rsidRPr="00FB2E83">
              <w:t>до 4,5</w:t>
            </w:r>
          </w:p>
        </w:tc>
        <w:tc>
          <w:tcPr>
            <w:tcW w:w="2693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 w:rsidRPr="00FB2E83">
              <w:t>до 4,0</w:t>
            </w:r>
          </w:p>
        </w:tc>
      </w:tr>
      <w:tr w:rsidR="009D75E6" w:rsidTr="00C02073">
        <w:tc>
          <w:tcPr>
            <w:tcW w:w="567" w:type="dxa"/>
            <w:shd w:val="clear" w:color="auto" w:fill="auto"/>
          </w:tcPr>
          <w:p w:rsidR="009D75E6" w:rsidRDefault="009D75E6" w:rsidP="0035769E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544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both"/>
            </w:pPr>
            <w:r w:rsidRPr="00FB2E83">
              <w:t>От 201 и выше</w:t>
            </w:r>
          </w:p>
        </w:tc>
        <w:tc>
          <w:tcPr>
            <w:tcW w:w="2410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 w:rsidRPr="00FB2E83">
              <w:t>до 5,0</w:t>
            </w:r>
          </w:p>
        </w:tc>
        <w:tc>
          <w:tcPr>
            <w:tcW w:w="2693" w:type="dxa"/>
            <w:shd w:val="clear" w:color="auto" w:fill="auto"/>
          </w:tcPr>
          <w:p w:rsidR="009D75E6" w:rsidRDefault="009D75E6" w:rsidP="00C02073">
            <w:pPr>
              <w:autoSpaceDE w:val="0"/>
              <w:autoSpaceDN w:val="0"/>
              <w:adjustRightInd w:val="0"/>
              <w:jc w:val="center"/>
            </w:pPr>
            <w:r w:rsidRPr="00FB2E83">
              <w:t>до 4,5</w:t>
            </w:r>
          </w:p>
        </w:tc>
      </w:tr>
    </w:tbl>
    <w:p w:rsidR="0089636C" w:rsidRPr="0035769E" w:rsidRDefault="00C61395" w:rsidP="0035769E">
      <w:pPr>
        <w:ind w:firstLine="708"/>
        <w:jc w:val="right"/>
      </w:pPr>
      <w:r>
        <w:t>».</w:t>
      </w:r>
    </w:p>
    <w:p w:rsidR="001C5CD8" w:rsidRPr="002F3AC4" w:rsidRDefault="00684DA6">
      <w:pPr>
        <w:ind w:firstLine="708"/>
        <w:jc w:val="both"/>
      </w:pPr>
      <w:r w:rsidRPr="002F3AC4">
        <w:t>2</w:t>
      </w:r>
      <w:r w:rsidR="00A72130" w:rsidRPr="002F3AC4">
        <w:t xml:space="preserve">. </w:t>
      </w:r>
      <w:r w:rsidR="00A72130" w:rsidRPr="002F3AC4">
        <w:rPr>
          <w:bCs/>
        </w:rPr>
        <w:t>Настоящее постановление вступает в силу</w:t>
      </w:r>
      <w:r w:rsidR="00304982">
        <w:rPr>
          <w:bCs/>
        </w:rPr>
        <w:t xml:space="preserve"> со дня подписания, распространяется на правоотношения, возникшие</w:t>
      </w:r>
      <w:r w:rsidR="00A72130" w:rsidRPr="002F3AC4">
        <w:rPr>
          <w:bCs/>
        </w:rPr>
        <w:t xml:space="preserve"> с 01 сентября 2018 года</w:t>
      </w:r>
      <w:r w:rsidRPr="002F3AC4">
        <w:rPr>
          <w:bCs/>
        </w:rPr>
        <w:t xml:space="preserve">, за исключением подпункта </w:t>
      </w:r>
      <w:r w:rsidR="004B55B7">
        <w:rPr>
          <w:bCs/>
        </w:rPr>
        <w:t>«</w:t>
      </w:r>
      <w:r w:rsidRPr="002F3AC4">
        <w:rPr>
          <w:bCs/>
        </w:rPr>
        <w:t>а</w:t>
      </w:r>
      <w:r w:rsidR="004B55B7">
        <w:rPr>
          <w:bCs/>
        </w:rPr>
        <w:t>»</w:t>
      </w:r>
      <w:r w:rsidRPr="002F3AC4">
        <w:rPr>
          <w:bCs/>
        </w:rPr>
        <w:t xml:space="preserve"> подпункта </w:t>
      </w:r>
      <w:r w:rsidR="002D5065">
        <w:rPr>
          <w:bCs/>
        </w:rPr>
        <w:t>2</w:t>
      </w:r>
      <w:r w:rsidRPr="002F3AC4">
        <w:rPr>
          <w:bCs/>
        </w:rPr>
        <w:t xml:space="preserve"> пункта 1 постановления, который вступает в силу с 01 </w:t>
      </w:r>
      <w:r w:rsidR="002D5065">
        <w:rPr>
          <w:bCs/>
        </w:rPr>
        <w:t>октября</w:t>
      </w:r>
      <w:r w:rsidRPr="002F3AC4">
        <w:rPr>
          <w:bCs/>
        </w:rPr>
        <w:t xml:space="preserve"> 201</w:t>
      </w:r>
      <w:r w:rsidR="002D5065">
        <w:rPr>
          <w:bCs/>
        </w:rPr>
        <w:t>8</w:t>
      </w:r>
      <w:r w:rsidRPr="002F3AC4">
        <w:rPr>
          <w:bCs/>
        </w:rPr>
        <w:t xml:space="preserve"> года</w:t>
      </w:r>
      <w:r w:rsidR="00304982">
        <w:rPr>
          <w:bCs/>
        </w:rPr>
        <w:t xml:space="preserve">, и </w:t>
      </w:r>
      <w:r w:rsidR="001C5CD8">
        <w:rPr>
          <w:bCs/>
        </w:rPr>
        <w:t>подлежит опубликованию (обнародованию).</w:t>
      </w:r>
    </w:p>
    <w:p w:rsidR="002E4DBF" w:rsidRPr="00DC4543" w:rsidRDefault="00E035B4">
      <w:pPr>
        <w:ind w:firstLine="708"/>
        <w:jc w:val="both"/>
      </w:pPr>
      <w:r>
        <w:t>3</w:t>
      </w:r>
      <w:r w:rsidR="00A72130" w:rsidRPr="002F3AC4">
        <w:t xml:space="preserve">. </w:t>
      </w:r>
      <w:proofErr w:type="gramStart"/>
      <w:r w:rsidR="00A72130" w:rsidRPr="002F3AC4">
        <w:rPr>
          <w:szCs w:val="28"/>
        </w:rPr>
        <w:t>Контроль за</w:t>
      </w:r>
      <w:proofErr w:type="gramEnd"/>
      <w:r w:rsidR="00A72130" w:rsidRPr="002F3AC4">
        <w:rPr>
          <w:szCs w:val="28"/>
        </w:rPr>
        <w:t xml:space="preserve"> исполнением настоящего постановления возложить на заместителя руководителя администрации городского округа «Вуктыл» Г. Р. Идрисову.</w:t>
      </w:r>
      <w:r w:rsidR="00A72130" w:rsidRPr="00DC4543">
        <w:rPr>
          <w:szCs w:val="28"/>
        </w:rPr>
        <w:t xml:space="preserve"> </w:t>
      </w:r>
    </w:p>
    <w:p w:rsidR="002E4DBF" w:rsidRPr="00DC4543" w:rsidRDefault="00227300" w:rsidP="00227300">
      <w:pPr>
        <w:spacing w:before="640"/>
        <w:jc w:val="both"/>
      </w:pPr>
      <w:r>
        <w:t>И. о. руководителя</w:t>
      </w:r>
      <w:r w:rsidR="00A72130" w:rsidRPr="00DC4543">
        <w:t xml:space="preserve"> администрации </w:t>
      </w:r>
    </w:p>
    <w:p w:rsidR="002E4DBF" w:rsidRPr="00DC4543" w:rsidRDefault="00A72130">
      <w:pPr>
        <w:jc w:val="both"/>
      </w:pPr>
      <w:r w:rsidRPr="00DC4543">
        <w:t xml:space="preserve">городского округа «Вуктыл»                                 </w:t>
      </w:r>
      <w:r w:rsidR="002D5065">
        <w:t xml:space="preserve">                             </w:t>
      </w:r>
      <w:r w:rsidRPr="00DC4543">
        <w:t xml:space="preserve">     </w:t>
      </w:r>
      <w:r w:rsidR="00227300">
        <w:t xml:space="preserve">   </w:t>
      </w:r>
      <w:r w:rsidRPr="00DC4543">
        <w:t xml:space="preserve">  </w:t>
      </w:r>
      <w:r w:rsidR="001E33C4">
        <w:t xml:space="preserve">   </w:t>
      </w:r>
      <w:r w:rsidRPr="00DC4543">
        <w:t xml:space="preserve"> </w:t>
      </w:r>
      <w:r w:rsidR="00E035B4">
        <w:t xml:space="preserve">  </w:t>
      </w:r>
      <w:r w:rsidRPr="00DC4543">
        <w:t xml:space="preserve">    </w:t>
      </w:r>
      <w:r w:rsidR="00E035B4">
        <w:t>Г.Р. Идрисова</w:t>
      </w:r>
    </w:p>
    <w:p w:rsidR="00FB3799" w:rsidRPr="00DC4543" w:rsidRDefault="00FB3799" w:rsidP="008E2B13">
      <w:pPr>
        <w:jc w:val="both"/>
      </w:pPr>
      <w:bookmarkStart w:id="0" w:name="Par1"/>
      <w:bookmarkEnd w:id="0"/>
    </w:p>
    <w:sectPr w:rsidR="00FB3799" w:rsidRPr="00DC4543" w:rsidSect="008E2B13">
      <w:pgSz w:w="11906" w:h="16838"/>
      <w:pgMar w:top="709" w:right="851" w:bottom="992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altName w:val="Courier New"/>
    <w:charset w:val="CC"/>
    <w:family w:val="roman"/>
    <w:pitch w:val="variable"/>
    <w:sig w:usb0="00000000" w:usb1="00000000" w:usb2="00000000" w:usb3="00000000" w:csb0="00000000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724D6"/>
    <w:multiLevelType w:val="hybridMultilevel"/>
    <w:tmpl w:val="8402E1BE"/>
    <w:lvl w:ilvl="0" w:tplc="4EAC7B38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4DBF"/>
    <w:rsid w:val="0002232D"/>
    <w:rsid w:val="00022604"/>
    <w:rsid w:val="00067654"/>
    <w:rsid w:val="000B0AC6"/>
    <w:rsid w:val="000D06B8"/>
    <w:rsid w:val="000D1A5E"/>
    <w:rsid w:val="00162AE3"/>
    <w:rsid w:val="00196202"/>
    <w:rsid w:val="001C5CD8"/>
    <w:rsid w:val="001E33C4"/>
    <w:rsid w:val="001E72BD"/>
    <w:rsid w:val="00227300"/>
    <w:rsid w:val="002417FF"/>
    <w:rsid w:val="002553F0"/>
    <w:rsid w:val="00286FCB"/>
    <w:rsid w:val="002D3A2A"/>
    <w:rsid w:val="002D5065"/>
    <w:rsid w:val="002E4DBF"/>
    <w:rsid w:val="002F3AC4"/>
    <w:rsid w:val="00304982"/>
    <w:rsid w:val="00327F7E"/>
    <w:rsid w:val="0035769E"/>
    <w:rsid w:val="003838D2"/>
    <w:rsid w:val="003B74DD"/>
    <w:rsid w:val="0040352A"/>
    <w:rsid w:val="00434D86"/>
    <w:rsid w:val="00444166"/>
    <w:rsid w:val="00497F95"/>
    <w:rsid w:val="004B55B7"/>
    <w:rsid w:val="004C6A91"/>
    <w:rsid w:val="004E00B7"/>
    <w:rsid w:val="004E081A"/>
    <w:rsid w:val="005054E3"/>
    <w:rsid w:val="005165EB"/>
    <w:rsid w:val="0053485C"/>
    <w:rsid w:val="005712D2"/>
    <w:rsid w:val="005D176B"/>
    <w:rsid w:val="005E6CC9"/>
    <w:rsid w:val="006025FD"/>
    <w:rsid w:val="00684DA6"/>
    <w:rsid w:val="00684E05"/>
    <w:rsid w:val="006916DD"/>
    <w:rsid w:val="00693E43"/>
    <w:rsid w:val="006B1F6C"/>
    <w:rsid w:val="006B6E78"/>
    <w:rsid w:val="006C4737"/>
    <w:rsid w:val="006D2B07"/>
    <w:rsid w:val="006E0CE1"/>
    <w:rsid w:val="00774250"/>
    <w:rsid w:val="00855812"/>
    <w:rsid w:val="0085665A"/>
    <w:rsid w:val="00865477"/>
    <w:rsid w:val="008817E8"/>
    <w:rsid w:val="0089636C"/>
    <w:rsid w:val="008A1E10"/>
    <w:rsid w:val="008E2B13"/>
    <w:rsid w:val="00915B56"/>
    <w:rsid w:val="00926A84"/>
    <w:rsid w:val="009749D0"/>
    <w:rsid w:val="0098108C"/>
    <w:rsid w:val="009A1FD7"/>
    <w:rsid w:val="009A6502"/>
    <w:rsid w:val="009A76B7"/>
    <w:rsid w:val="009D75E6"/>
    <w:rsid w:val="00A70F3A"/>
    <w:rsid w:val="00A72130"/>
    <w:rsid w:val="00A7782B"/>
    <w:rsid w:val="00AC58EF"/>
    <w:rsid w:val="00B03497"/>
    <w:rsid w:val="00B55F00"/>
    <w:rsid w:val="00B661CE"/>
    <w:rsid w:val="00BF4019"/>
    <w:rsid w:val="00C61395"/>
    <w:rsid w:val="00C62543"/>
    <w:rsid w:val="00CC417D"/>
    <w:rsid w:val="00CF2350"/>
    <w:rsid w:val="00D87347"/>
    <w:rsid w:val="00DC4543"/>
    <w:rsid w:val="00DC6C51"/>
    <w:rsid w:val="00DF159C"/>
    <w:rsid w:val="00E035B4"/>
    <w:rsid w:val="00E9210A"/>
    <w:rsid w:val="00F24AE7"/>
    <w:rsid w:val="00FB3799"/>
    <w:rsid w:val="00FC2DA3"/>
    <w:rsid w:val="00FD4375"/>
    <w:rsid w:val="00FF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1B6"/>
    <w:rPr>
      <w:color w:val="00000A"/>
      <w:sz w:val="24"/>
      <w:szCs w:val="24"/>
    </w:rPr>
  </w:style>
  <w:style w:type="paragraph" w:styleId="1">
    <w:name w:val="heading 1"/>
    <w:basedOn w:val="a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"/>
    <w:qFormat/>
    <w:rsid w:val="00374018"/>
    <w:rPr>
      <w:rFonts w:ascii="Courier New" w:eastAsia="Courier New" w:hAnsi="Courier New"/>
    </w:rPr>
  </w:style>
  <w:style w:type="character" w:customStyle="1" w:styleId="70">
    <w:name w:val="Заголовок 7 Знак"/>
    <w:basedOn w:val="a0"/>
    <w:link w:val="7"/>
    <w:qFormat/>
    <w:rsid w:val="00F93919"/>
    <w:rPr>
      <w:sz w:val="24"/>
      <w:szCs w:val="24"/>
    </w:rPr>
  </w:style>
  <w:style w:type="character" w:customStyle="1" w:styleId="a3">
    <w:name w:val="Верхний колонтитул Знак"/>
    <w:basedOn w:val="a0"/>
    <w:qFormat/>
    <w:rsid w:val="00810C92"/>
    <w:rPr>
      <w:sz w:val="24"/>
      <w:szCs w:val="24"/>
    </w:rPr>
  </w:style>
  <w:style w:type="character" w:customStyle="1" w:styleId="a4">
    <w:name w:val="Нижний колонтитул Знак"/>
    <w:basedOn w:val="a0"/>
    <w:qFormat/>
    <w:rsid w:val="00810C92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B82BAA"/>
    <w:rPr>
      <w:color w:val="0000FF"/>
      <w:u w:val="single"/>
    </w:rPr>
  </w:style>
  <w:style w:type="character" w:customStyle="1" w:styleId="a5">
    <w:name w:val="Основной текст Знак"/>
    <w:basedOn w:val="a0"/>
    <w:uiPriority w:val="99"/>
    <w:qFormat/>
    <w:rsid w:val="00641782"/>
    <w:rPr>
      <w:rFonts w:ascii="Calibri" w:hAnsi="Calibri" w:cs="Calibri"/>
    </w:rPr>
  </w:style>
  <w:style w:type="character" w:customStyle="1" w:styleId="a6">
    <w:name w:val="Основной текст с отступом Знак"/>
    <w:basedOn w:val="a0"/>
    <w:uiPriority w:val="99"/>
    <w:qFormat/>
    <w:rsid w:val="0094500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(2)_"/>
    <w:basedOn w:val="a0"/>
    <w:uiPriority w:val="99"/>
    <w:qFormat/>
    <w:rsid w:val="00945008"/>
    <w:rPr>
      <w:spacing w:val="1"/>
      <w:shd w:val="clear" w:color="auto" w:fill="FFFFFF"/>
    </w:rPr>
  </w:style>
  <w:style w:type="character" w:customStyle="1" w:styleId="ListLabel1">
    <w:name w:val="ListLabel 1"/>
    <w:qFormat/>
    <w:rsid w:val="00286FCB"/>
    <w:rPr>
      <w:rFonts w:cs="Times New Roman"/>
    </w:rPr>
  </w:style>
  <w:style w:type="character" w:customStyle="1" w:styleId="ListLabel2">
    <w:name w:val="ListLabel 2"/>
    <w:qFormat/>
    <w:rsid w:val="00286FCB"/>
    <w:rPr>
      <w:rFonts w:cs="Times New Roman"/>
    </w:rPr>
  </w:style>
  <w:style w:type="character" w:customStyle="1" w:styleId="ListLabel3">
    <w:name w:val="ListLabel 3"/>
    <w:qFormat/>
    <w:rsid w:val="00286FCB"/>
    <w:rPr>
      <w:rFonts w:cs="Times New Roman"/>
    </w:rPr>
  </w:style>
  <w:style w:type="character" w:customStyle="1" w:styleId="ListLabel4">
    <w:name w:val="ListLabel 4"/>
    <w:qFormat/>
    <w:rsid w:val="00286FCB"/>
    <w:rPr>
      <w:rFonts w:cs="Times New Roman"/>
    </w:rPr>
  </w:style>
  <w:style w:type="character" w:customStyle="1" w:styleId="ListLabel5">
    <w:name w:val="ListLabel 5"/>
    <w:qFormat/>
    <w:rsid w:val="00286FCB"/>
    <w:rPr>
      <w:rFonts w:cs="Times New Roman"/>
    </w:rPr>
  </w:style>
  <w:style w:type="character" w:customStyle="1" w:styleId="ListLabel6">
    <w:name w:val="ListLabel 6"/>
    <w:qFormat/>
    <w:rsid w:val="00286FCB"/>
    <w:rPr>
      <w:rFonts w:cs="Times New Roman"/>
    </w:rPr>
  </w:style>
  <w:style w:type="character" w:customStyle="1" w:styleId="ListLabel7">
    <w:name w:val="ListLabel 7"/>
    <w:qFormat/>
    <w:rsid w:val="00286FCB"/>
    <w:rPr>
      <w:rFonts w:cs="Times New Roman"/>
    </w:rPr>
  </w:style>
  <w:style w:type="character" w:customStyle="1" w:styleId="ListLabel8">
    <w:name w:val="ListLabel 8"/>
    <w:qFormat/>
    <w:rsid w:val="00286FCB"/>
    <w:rPr>
      <w:rFonts w:cs="Times New Roman"/>
    </w:rPr>
  </w:style>
  <w:style w:type="character" w:customStyle="1" w:styleId="ListLabel9">
    <w:name w:val="ListLabel 9"/>
    <w:qFormat/>
    <w:rsid w:val="00286FCB"/>
    <w:rPr>
      <w:rFonts w:cs="Times New Roman"/>
    </w:rPr>
  </w:style>
  <w:style w:type="character" w:customStyle="1" w:styleId="ListLabel10">
    <w:name w:val="ListLabel 10"/>
    <w:qFormat/>
    <w:rsid w:val="00286FCB"/>
    <w:rPr>
      <w:color w:val="00000A"/>
    </w:rPr>
  </w:style>
  <w:style w:type="character" w:customStyle="1" w:styleId="ListLabel11">
    <w:name w:val="ListLabel 11"/>
    <w:qFormat/>
    <w:rsid w:val="00286FCB"/>
    <w:rPr>
      <w:rFonts w:eastAsia="Times New Roman" w:cs="Times New Roman"/>
    </w:rPr>
  </w:style>
  <w:style w:type="character" w:customStyle="1" w:styleId="a7">
    <w:name w:val="Исходный текст"/>
    <w:qFormat/>
    <w:rsid w:val="00286FCB"/>
    <w:rPr>
      <w:rFonts w:ascii="Liberation Mono" w:eastAsia="Liberation Mono" w:hAnsi="Liberation Mono" w:cs="Liberation Mono"/>
    </w:rPr>
  </w:style>
  <w:style w:type="paragraph" w:customStyle="1" w:styleId="a8">
    <w:name w:val="Заголовок"/>
    <w:basedOn w:val="a"/>
    <w:next w:val="a9"/>
    <w:qFormat/>
    <w:rsid w:val="00286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uiPriority w:val="99"/>
    <w:rsid w:val="00641782"/>
    <w:pPr>
      <w:spacing w:after="120"/>
    </w:pPr>
    <w:rPr>
      <w:rFonts w:ascii="Calibri" w:hAnsi="Calibri" w:cs="Calibri"/>
      <w:sz w:val="20"/>
      <w:szCs w:val="20"/>
    </w:rPr>
  </w:style>
  <w:style w:type="paragraph" w:styleId="aa">
    <w:name w:val="List"/>
    <w:basedOn w:val="a9"/>
    <w:rsid w:val="00286FCB"/>
    <w:rPr>
      <w:rFonts w:cs="Mangal"/>
    </w:rPr>
  </w:style>
  <w:style w:type="paragraph" w:styleId="ab">
    <w:name w:val="caption"/>
    <w:basedOn w:val="a"/>
    <w:qFormat/>
    <w:rsid w:val="00286FCB"/>
    <w:pPr>
      <w:suppressLineNumbers/>
      <w:spacing w:before="120" w:after="120"/>
    </w:pPr>
    <w:rPr>
      <w:rFonts w:cs="Mangal"/>
      <w:i/>
      <w:iCs/>
    </w:rPr>
  </w:style>
  <w:style w:type="paragraph" w:styleId="ac">
    <w:name w:val="index heading"/>
    <w:basedOn w:val="a"/>
    <w:qFormat/>
    <w:rsid w:val="00286FCB"/>
    <w:pPr>
      <w:suppressLineNumbers/>
    </w:pPr>
    <w:rPr>
      <w:rFonts w:cs="Mangal"/>
    </w:rPr>
  </w:style>
  <w:style w:type="paragraph" w:customStyle="1" w:styleId="ConsPlusTitle">
    <w:name w:val="ConsPlusTitle"/>
    <w:qFormat/>
    <w:rsid w:val="00114CF3"/>
    <w:pPr>
      <w:widowControl w:val="0"/>
    </w:pPr>
    <w:rPr>
      <w:b/>
      <w:bCs/>
      <w:color w:val="00000A"/>
      <w:sz w:val="24"/>
      <w:szCs w:val="24"/>
    </w:rPr>
  </w:style>
  <w:style w:type="paragraph" w:customStyle="1" w:styleId="ConsPlusNonformat">
    <w:name w:val="ConsPlusNonformat"/>
    <w:qFormat/>
    <w:rsid w:val="00114CF3"/>
    <w:pPr>
      <w:widowControl w:val="0"/>
    </w:pPr>
    <w:rPr>
      <w:rFonts w:ascii="Courier New" w:hAnsi="Courier New" w:cs="Courier New"/>
      <w:color w:val="00000A"/>
      <w:sz w:val="24"/>
    </w:rPr>
  </w:style>
  <w:style w:type="paragraph" w:customStyle="1" w:styleId="ConsPlusCell">
    <w:name w:val="ConsPlusCell"/>
    <w:uiPriority w:val="99"/>
    <w:qFormat/>
    <w:rsid w:val="00114CF3"/>
    <w:pPr>
      <w:widowControl w:val="0"/>
    </w:pPr>
    <w:rPr>
      <w:rFonts w:ascii="Arial" w:hAnsi="Arial" w:cs="Arial"/>
      <w:color w:val="00000A"/>
      <w:sz w:val="24"/>
    </w:rPr>
  </w:style>
  <w:style w:type="paragraph" w:styleId="HTML0">
    <w:name w:val="HTML Preformatted"/>
    <w:basedOn w:val="a"/>
    <w:qFormat/>
    <w:rsid w:val="00286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customStyle="1" w:styleId="ad">
    <w:name w:val="Знак Знак Знак Знак"/>
    <w:basedOn w:val="a"/>
    <w:qFormat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qFormat/>
    <w:rsid w:val="004A3E60"/>
    <w:pPr>
      <w:widowControl w:val="0"/>
    </w:pPr>
    <w:rPr>
      <w:rFonts w:ascii="Arial" w:hAnsi="Arial"/>
      <w:b/>
      <w:color w:val="00000A"/>
      <w:sz w:val="16"/>
    </w:rPr>
  </w:style>
  <w:style w:type="paragraph" w:customStyle="1" w:styleId="ConsPlusNormal">
    <w:name w:val="ConsPlusNormal"/>
    <w:qFormat/>
    <w:rsid w:val="009F3840"/>
    <w:pPr>
      <w:widowControl w:val="0"/>
      <w:ind w:firstLine="720"/>
    </w:pPr>
    <w:rPr>
      <w:rFonts w:ascii="Arial" w:hAnsi="Arial" w:cs="Arial"/>
      <w:color w:val="00000A"/>
      <w:sz w:val="24"/>
    </w:rPr>
  </w:style>
  <w:style w:type="paragraph" w:customStyle="1" w:styleId="10">
    <w:name w:val="Обычный1"/>
    <w:qFormat/>
    <w:rsid w:val="008E0C09"/>
    <w:pPr>
      <w:widowControl w:val="0"/>
      <w:spacing w:line="300" w:lineRule="auto"/>
      <w:ind w:left="40" w:firstLine="600"/>
      <w:jc w:val="both"/>
    </w:pPr>
    <w:rPr>
      <w:color w:val="00000A"/>
      <w:sz w:val="24"/>
    </w:rPr>
  </w:style>
  <w:style w:type="paragraph" w:customStyle="1" w:styleId="ConsNormal">
    <w:name w:val="ConsNormal"/>
    <w:qFormat/>
    <w:rsid w:val="00632781"/>
    <w:pPr>
      <w:widowControl w:val="0"/>
      <w:ind w:firstLine="720"/>
    </w:pPr>
    <w:rPr>
      <w:rFonts w:ascii="Arial" w:hAnsi="Arial"/>
      <w:color w:val="00000A"/>
      <w:sz w:val="24"/>
    </w:rPr>
  </w:style>
  <w:style w:type="paragraph" w:customStyle="1" w:styleId="ae">
    <w:name w:val="Знак"/>
    <w:basedOn w:val="a"/>
    <w:qFormat/>
    <w:rsid w:val="00104A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semiHidden/>
    <w:qFormat/>
    <w:rsid w:val="001B5AFB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E07FC"/>
    <w:pPr>
      <w:ind w:left="720"/>
      <w:contextualSpacing/>
    </w:pPr>
  </w:style>
  <w:style w:type="paragraph" w:styleId="af1">
    <w:name w:val="header"/>
    <w:basedOn w:val="a"/>
    <w:rsid w:val="00810C92"/>
    <w:pPr>
      <w:tabs>
        <w:tab w:val="center" w:pos="4677"/>
        <w:tab w:val="right" w:pos="9355"/>
      </w:tabs>
    </w:pPr>
  </w:style>
  <w:style w:type="paragraph" w:styleId="af2">
    <w:name w:val="footer"/>
    <w:basedOn w:val="a"/>
    <w:rsid w:val="00810C92"/>
    <w:pPr>
      <w:tabs>
        <w:tab w:val="center" w:pos="4677"/>
        <w:tab w:val="right" w:pos="9355"/>
      </w:tabs>
    </w:pPr>
  </w:style>
  <w:style w:type="paragraph" w:styleId="af3">
    <w:name w:val="No Spacing"/>
    <w:uiPriority w:val="99"/>
    <w:qFormat/>
    <w:rsid w:val="00641782"/>
    <w:rPr>
      <w:rFonts w:ascii="Calibri" w:hAnsi="Calibri" w:cs="Calibri"/>
      <w:color w:val="00000A"/>
      <w:sz w:val="22"/>
      <w:szCs w:val="22"/>
      <w:lang w:eastAsia="en-US"/>
    </w:rPr>
  </w:style>
  <w:style w:type="paragraph" w:styleId="af4">
    <w:name w:val="Body Text Indent"/>
    <w:basedOn w:val="a"/>
    <w:uiPriority w:val="99"/>
    <w:unhideWhenUsed/>
    <w:rsid w:val="00945008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 (2)"/>
    <w:basedOn w:val="a"/>
    <w:uiPriority w:val="99"/>
    <w:qFormat/>
    <w:rsid w:val="00945008"/>
    <w:pPr>
      <w:widowControl w:val="0"/>
      <w:shd w:val="clear" w:color="auto" w:fill="FFFFFF"/>
      <w:spacing w:before="600" w:line="274" w:lineRule="exact"/>
      <w:jc w:val="center"/>
    </w:pPr>
    <w:rPr>
      <w:b/>
      <w:bCs/>
      <w:spacing w:val="1"/>
      <w:sz w:val="20"/>
      <w:szCs w:val="20"/>
    </w:rPr>
  </w:style>
  <w:style w:type="paragraph" w:customStyle="1" w:styleId="af5">
    <w:name w:val="Содержимое таблицы"/>
    <w:basedOn w:val="a"/>
    <w:qFormat/>
    <w:rsid w:val="00286FCB"/>
    <w:pPr>
      <w:suppressLineNumbers/>
    </w:pPr>
  </w:style>
  <w:style w:type="paragraph" w:customStyle="1" w:styleId="af6">
    <w:name w:val="Заголовок таблицы"/>
    <w:basedOn w:val="af5"/>
    <w:qFormat/>
    <w:rsid w:val="00286FCB"/>
    <w:pPr>
      <w:jc w:val="center"/>
    </w:pPr>
    <w:rPr>
      <w:b/>
      <w:bCs/>
    </w:rPr>
  </w:style>
  <w:style w:type="paragraph" w:customStyle="1" w:styleId="af7">
    <w:name w:val="Содержимое врезки"/>
    <w:basedOn w:val="a"/>
    <w:qFormat/>
    <w:rsid w:val="00286FCB"/>
  </w:style>
  <w:style w:type="table" w:styleId="af8">
    <w:name w:val="Table Grid"/>
    <w:basedOn w:val="a1"/>
    <w:uiPriority w:val="59"/>
    <w:rsid w:val="00634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rsid w:val="009A76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8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E063ED8B63277DE8E784DE3CAD211AD56CED4CDDA37F2201FAF387876CF3DCFFD0D4323227AC7FXCi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678E5-F26C-4702-BE2B-CEC90B1B1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3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РК от 20.01.2010 N 14(ред. от 07.08.2017)"Об оплате труда работников государственных бюджетных, автономных и казенных учреждений Республики Коми"</vt:lpstr>
    </vt:vector>
  </TitlesOfParts>
  <Company>КонсультантПлюс Версия 4017.00.93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РК от 20.01.2010 N 14(ред. от 07.08.2017)"Об оплате труда работников государственных бюджетных, автономных и казенных учреждений Республики Коми"</dc:title>
  <dc:subject/>
  <dc:creator>name</dc:creator>
  <dc:description/>
  <cp:lastModifiedBy>Надежда</cp:lastModifiedBy>
  <cp:revision>97</cp:revision>
  <cp:lastPrinted>2018-11-06T10:09:00Z</cp:lastPrinted>
  <dcterms:created xsi:type="dcterms:W3CDTF">2018-06-27T16:17:00Z</dcterms:created>
  <dcterms:modified xsi:type="dcterms:W3CDTF">2018-11-06T19:24:00Z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