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C" w:rsidRDefault="00D32DC6">
      <w:r>
        <w:rPr>
          <w:lang w:eastAsia="en-US"/>
        </w:rPr>
        <w:t xml:space="preserve">                      </w:t>
      </w:r>
    </w:p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0"/>
        <w:gridCol w:w="1656"/>
        <w:gridCol w:w="4399"/>
      </w:tblGrid>
      <w:tr w:rsidR="00F5128C" w:rsidRPr="00F5128C" w:rsidTr="0010573F">
        <w:trPr>
          <w:trHeight w:val="1569"/>
          <w:jc w:val="center"/>
        </w:trPr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textAlignment w:val="baseline"/>
            </w:pPr>
            <w:r w:rsidRPr="00F5128C">
              <w:rPr>
                <w:noProof/>
              </w:rPr>
              <w:drawing>
                <wp:inline distT="0" distB="0" distL="0" distR="0" wp14:anchorId="0AEC5F83" wp14:editId="2918D751">
                  <wp:extent cx="914400" cy="1043275"/>
                  <wp:effectExtent l="0" t="0" r="0" b="447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F5128C" w:rsidRPr="00F5128C" w:rsidRDefault="00F5128C" w:rsidP="00F5128C">
      <w:pPr>
        <w:widowControl w:val="0"/>
        <w:tabs>
          <w:tab w:val="center" w:pos="4677"/>
        </w:tabs>
        <w:suppressAutoHyphens/>
        <w:autoSpaceDN w:val="0"/>
        <w:textAlignment w:val="baseline"/>
        <w:rPr>
          <w:lang w:eastAsia="en-US"/>
        </w:rPr>
      </w:pPr>
    </w:p>
    <w:p w:rsidR="00F5128C" w:rsidRPr="00F5128C" w:rsidRDefault="00F5128C" w:rsidP="00F5128C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F5128C">
        <w:rPr>
          <w:lang w:eastAsia="en-US"/>
        </w:rPr>
        <w:t>«</w:t>
      </w:r>
      <w:r>
        <w:rPr>
          <w:lang w:eastAsia="en-US"/>
        </w:rPr>
        <w:t xml:space="preserve">    </w:t>
      </w:r>
      <w:r w:rsidRPr="00F5128C">
        <w:rPr>
          <w:lang w:eastAsia="en-US"/>
        </w:rPr>
        <w:t xml:space="preserve">»  </w:t>
      </w:r>
      <w:r w:rsidR="0010573F">
        <w:rPr>
          <w:lang w:eastAsia="en-US"/>
        </w:rPr>
        <w:t>октября</w:t>
      </w:r>
      <w:r w:rsidRPr="00F5128C">
        <w:rPr>
          <w:lang w:eastAsia="en-US"/>
        </w:rPr>
        <w:t xml:space="preserve"> 201</w:t>
      </w:r>
      <w:r>
        <w:rPr>
          <w:lang w:eastAsia="en-US"/>
        </w:rPr>
        <w:t>9</w:t>
      </w:r>
      <w:r w:rsidRPr="00F5128C">
        <w:rPr>
          <w:lang w:eastAsia="en-US"/>
        </w:rPr>
        <w:t xml:space="preserve"> года</w:t>
      </w:r>
    </w:p>
    <w:p w:rsidR="00444C8C" w:rsidRDefault="00444C8C"/>
    <w:p w:rsidR="00444C8C" w:rsidRDefault="00444C8C"/>
    <w:p w:rsidR="00444C8C" w:rsidRDefault="00D32DC6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>
        <w:rPr>
          <w:b/>
          <w:bCs/>
          <w:sz w:val="34"/>
        </w:rPr>
        <w:t xml:space="preserve"> № ___/___</w:t>
      </w:r>
    </w:p>
    <w:p w:rsidR="00444C8C" w:rsidRDefault="00D32DC6">
      <w:pPr>
        <w:pStyle w:val="af2"/>
        <w:tabs>
          <w:tab w:val="left" w:pos="564"/>
          <w:tab w:val="left" w:pos="7020"/>
        </w:tabs>
        <w:ind w:right="48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  внесении изменени</w:t>
      </w:r>
      <w:r w:rsidR="00CC736E">
        <w:rPr>
          <w:b/>
          <w:sz w:val="24"/>
          <w:szCs w:val="24"/>
          <w:lang w:eastAsia="en-US"/>
        </w:rPr>
        <w:t>я</w:t>
      </w:r>
      <w:r>
        <w:rPr>
          <w:b/>
          <w:sz w:val="24"/>
          <w:szCs w:val="24"/>
          <w:lang w:eastAsia="en-US"/>
        </w:rPr>
        <w:t xml:space="preserve">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CC736E" w:rsidRDefault="00CC736E">
      <w:pPr>
        <w:pStyle w:val="af2"/>
        <w:tabs>
          <w:tab w:val="left" w:pos="564"/>
          <w:tab w:val="left" w:pos="7020"/>
        </w:tabs>
        <w:ind w:right="4876"/>
        <w:jc w:val="both"/>
        <w:rPr>
          <w:lang w:eastAsia="en-US"/>
        </w:rPr>
      </w:pPr>
    </w:p>
    <w:p w:rsidR="00444C8C" w:rsidRDefault="00444C8C">
      <w:pPr>
        <w:tabs>
          <w:tab w:val="left" w:pos="567"/>
        </w:tabs>
        <w:jc w:val="both"/>
        <w:rPr>
          <w:lang w:eastAsia="en-US"/>
        </w:rPr>
      </w:pPr>
    </w:p>
    <w:p w:rsidR="00444C8C" w:rsidRDefault="00D32DC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>городского округа  «Вуктыл</w:t>
      </w:r>
      <w:r w:rsidR="00CC736E">
        <w:rPr>
          <w:lang w:eastAsia="en-US"/>
        </w:rPr>
        <w:t>» от 13 декабря 2018 г. № 355 «</w:t>
      </w:r>
      <w:r>
        <w:rPr>
          <w:lang w:eastAsia="en-US"/>
        </w:rPr>
        <w:t>О бюджете муниципального образования</w:t>
      </w:r>
      <w:r w:rsidRPr="00D32DC6">
        <w:rPr>
          <w:lang w:eastAsia="en-US"/>
        </w:rPr>
        <w:t xml:space="preserve"> </w:t>
      </w:r>
      <w:r>
        <w:rPr>
          <w:lang w:eastAsia="en-US"/>
        </w:rPr>
        <w:t>городского округа  «Вуктыл» на 2019 год и плановый период 2020 и 2021 годов»,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444C8C" w:rsidRDefault="00D32DC6">
      <w:pPr>
        <w:ind w:firstLine="850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 xml:space="preserve">Управление муниципальными финансами и муниципальным долгом городского округа «Вуктыл» </w:t>
      </w:r>
      <w:r w:rsidR="00CF48B3">
        <w:rPr>
          <w:rFonts w:eastAsia="Calibri"/>
        </w:rPr>
        <w:t>изменения согласно приложения.</w:t>
      </w:r>
    </w:p>
    <w:p w:rsidR="00444C8C" w:rsidRDefault="00D32DC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 xml:space="preserve">Настоящее постановление </w:t>
      </w:r>
      <w:r w:rsidR="00CF48B3">
        <w:rPr>
          <w:lang w:eastAsia="en-US"/>
        </w:rPr>
        <w:t>подлежит опубликованию (обнародованию)</w:t>
      </w:r>
      <w:r w:rsidR="00BF6C08">
        <w:rPr>
          <w:lang w:eastAsia="en-US"/>
        </w:rPr>
        <w:t>.</w:t>
      </w:r>
    </w:p>
    <w:p w:rsidR="00444C8C" w:rsidRDefault="00D32DC6">
      <w:pPr>
        <w:ind w:firstLine="850"/>
        <w:jc w:val="both"/>
      </w:pPr>
      <w:r>
        <w:t>3. Контроль за исполнением настоящего постановления оставляю за собой.</w:t>
      </w:r>
    </w:p>
    <w:p w:rsidR="00444C8C" w:rsidRDefault="00444C8C">
      <w:pPr>
        <w:jc w:val="both"/>
        <w:rPr>
          <w:sz w:val="64"/>
          <w:szCs w:val="64"/>
        </w:rPr>
      </w:pPr>
    </w:p>
    <w:p w:rsidR="001246E1" w:rsidRDefault="001246E1">
      <w:pPr>
        <w:jc w:val="both"/>
      </w:pPr>
      <w:r>
        <w:t>Глава муниципального образования</w:t>
      </w:r>
    </w:p>
    <w:p w:rsidR="001246E1" w:rsidRDefault="001246E1">
      <w:pPr>
        <w:jc w:val="both"/>
      </w:pPr>
      <w:r>
        <w:t>городского округа «Вуктыл»</w:t>
      </w:r>
      <w:r w:rsidR="00CC736E">
        <w:t xml:space="preserve"> </w:t>
      </w:r>
      <w:r>
        <w:t xml:space="preserve">- </w:t>
      </w:r>
      <w:r w:rsidR="00D32DC6">
        <w:t>руководител</w:t>
      </w:r>
      <w:r>
        <w:t>ь</w:t>
      </w:r>
    </w:p>
    <w:p w:rsidR="006E36D5" w:rsidRDefault="006E36D5">
      <w:pPr>
        <w:jc w:val="both"/>
      </w:pPr>
      <w:r>
        <w:t xml:space="preserve">администрации </w:t>
      </w:r>
      <w:r w:rsidR="00D32DC6">
        <w:t xml:space="preserve">городского округа «Вуктыл»                                        </w:t>
      </w:r>
      <w:r>
        <w:t xml:space="preserve">        </w:t>
      </w:r>
      <w:r w:rsidR="00D32DC6">
        <w:t xml:space="preserve">      </w:t>
      </w:r>
      <w:r>
        <w:t>Г.Р. Идрисова</w:t>
      </w:r>
      <w:r w:rsidR="00D32DC6">
        <w:t xml:space="preserve">  </w:t>
      </w:r>
      <w:r>
        <w:t xml:space="preserve">                           </w:t>
      </w:r>
    </w:p>
    <w:p w:rsidR="00444C8C" w:rsidRDefault="00444C8C">
      <w:pPr>
        <w:jc w:val="both"/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lastRenderedPageBreak/>
        <w:t>СОГЛАСОВАНО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 xml:space="preserve">Заместитель руководителя администрации </w:t>
      </w: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 xml:space="preserve">городского округа «Вуктыл»- начальник </w:t>
      </w: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 xml:space="preserve">Финансового управления администрации </w:t>
      </w:r>
    </w:p>
    <w:p w:rsidR="00F5128C" w:rsidRDefault="000B6A49" w:rsidP="000B6A49">
      <w:pPr>
        <w:pStyle w:val="Standard"/>
        <w:widowControl w:val="0"/>
        <w:rPr>
          <w:color w:val="auto"/>
          <w:lang w:eastAsia="zh-CN"/>
        </w:rPr>
      </w:pPr>
      <w:r w:rsidRPr="000B6A49">
        <w:rPr>
          <w:color w:val="auto"/>
          <w:lang w:eastAsia="zh-CN"/>
        </w:rPr>
        <w:t>городского округа «Вуктыл»</w:t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>
        <w:rPr>
          <w:color w:val="auto"/>
          <w:lang w:eastAsia="zh-CN"/>
        </w:rPr>
        <w:t xml:space="preserve"> </w:t>
      </w:r>
      <w:r w:rsidRPr="000B6A49">
        <w:rPr>
          <w:color w:val="auto"/>
          <w:lang w:eastAsia="zh-CN"/>
        </w:rPr>
        <w:t xml:space="preserve">                                     В.А. Бабина</w:t>
      </w:r>
    </w:p>
    <w:p w:rsidR="000B6A49" w:rsidRPr="000B6A49" w:rsidRDefault="000B6A49" w:rsidP="000B6A49">
      <w:pPr>
        <w:pStyle w:val="Standard"/>
        <w:widowControl w:val="0"/>
        <w:rPr>
          <w:lang w:eastAsia="en-US"/>
        </w:rPr>
      </w:pPr>
    </w:p>
    <w:p w:rsidR="00F5128C" w:rsidRDefault="00F5262D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Заведующая</w:t>
      </w:r>
      <w:r w:rsidR="00F5128C">
        <w:rPr>
          <w:lang w:eastAsia="en-US"/>
        </w:rPr>
        <w:t xml:space="preserve"> </w:t>
      </w:r>
      <w:r w:rsidR="00F44521">
        <w:rPr>
          <w:lang w:eastAsia="en-US"/>
        </w:rPr>
        <w:t>сектором</w:t>
      </w:r>
      <w:r w:rsidR="00F5128C">
        <w:rPr>
          <w:lang w:eastAsia="en-US"/>
        </w:rPr>
        <w:t xml:space="preserve"> по развитию</w:t>
      </w:r>
    </w:p>
    <w:p w:rsidR="00F5128C" w:rsidRDefault="00F5128C" w:rsidP="00F44521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администрации городского округа «Вуктыл»                      </w:t>
      </w:r>
      <w:r w:rsidR="00F44521">
        <w:rPr>
          <w:lang w:eastAsia="en-US"/>
        </w:rPr>
        <w:t xml:space="preserve">            </w:t>
      </w:r>
      <w:r>
        <w:rPr>
          <w:lang w:eastAsia="en-US"/>
        </w:rPr>
        <w:t>И.Г. Рогозина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F5128C" w:rsidRDefault="000B6A49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Н</w:t>
      </w:r>
      <w:r w:rsidR="00F5128C">
        <w:rPr>
          <w:lang w:eastAsia="en-US"/>
        </w:rPr>
        <w:t>ачальник отдела правового обеспечения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     </w:t>
      </w:r>
      <w:r w:rsidR="000B6A49">
        <w:rPr>
          <w:lang w:eastAsia="en-US"/>
        </w:rPr>
        <w:t xml:space="preserve">                              И.Г. Родионова</w:t>
      </w:r>
      <w:r>
        <w:rPr>
          <w:lang w:eastAsia="en-US"/>
        </w:rPr>
        <w:t xml:space="preserve">  </w:t>
      </w: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F5128C" w:rsidRDefault="00F5128C" w:rsidP="00F5128C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t>Исп.: Боднар О.В.</w:t>
      </w:r>
    </w:p>
    <w:p w:rsidR="00444C8C" w:rsidRDefault="00D32DC6" w:rsidP="00F5128C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10573F" w:rsidRDefault="0010573F" w:rsidP="0010573F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ПРИЛОЖЕНИЕ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10573F" w:rsidRDefault="0010573F" w:rsidP="0010573F">
      <w:pPr>
        <w:widowControl w:val="0"/>
        <w:tabs>
          <w:tab w:val="center" w:pos="4677"/>
        </w:tabs>
        <w:outlineLvl w:val="0"/>
      </w:pPr>
      <w:r>
        <w:rPr>
          <w:lang w:eastAsia="en-US"/>
        </w:rPr>
        <w:t xml:space="preserve">                                                                                                     от           октября 2019 г. № 10/                                            </w:t>
      </w:r>
    </w:p>
    <w:p w:rsidR="0010573F" w:rsidRDefault="0010573F" w:rsidP="0010573F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10573F" w:rsidRDefault="0010573F" w:rsidP="0010573F">
      <w:pPr>
        <w:widowControl w:val="0"/>
        <w:suppressAutoHyphens/>
        <w:jc w:val="center"/>
        <w:outlineLvl w:val="0"/>
        <w:rPr>
          <w:lang w:eastAsia="en-US"/>
        </w:rPr>
      </w:pPr>
    </w:p>
    <w:p w:rsidR="0010573F" w:rsidRDefault="0010573F" w:rsidP="0010573F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2016 года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lang w:eastAsia="en-US"/>
        </w:rPr>
        <w:t xml:space="preserve">В постановлении администрации городского округа «Вуктыл» от 14 октября 2016 года №10/562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10573F" w:rsidRDefault="0010573F" w:rsidP="0010573F">
      <w:pPr>
        <w:pStyle w:val="aff"/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программы:</w:t>
      </w:r>
    </w:p>
    <w:p w:rsidR="0010573F" w:rsidRDefault="0010573F" w:rsidP="0010573F">
      <w:pPr>
        <w:tabs>
          <w:tab w:val="left" w:pos="688"/>
          <w:tab w:val="left" w:pos="734"/>
          <w:tab w:val="left" w:pos="797"/>
          <w:tab w:val="left" w:pos="844"/>
        </w:tabs>
        <w:suppressAutoHyphens/>
        <w:ind w:firstLine="794"/>
        <w:jc w:val="both"/>
        <w:outlineLvl w:val="0"/>
        <w:rPr>
          <w:bCs/>
        </w:rPr>
      </w:pPr>
      <w:r>
        <w:rPr>
          <w:bCs/>
        </w:rPr>
        <w:t xml:space="preserve">строку «Объемы финансирования </w:t>
      </w:r>
      <w:r>
        <w:t>муниципальной</w:t>
      </w:r>
      <w:r>
        <w:rPr>
          <w:bCs/>
        </w:rPr>
        <w:t xml:space="preserve"> программы» изложить в следующей редакции: </w:t>
      </w:r>
    </w:p>
    <w:p w:rsidR="0010573F" w:rsidRDefault="0010573F" w:rsidP="0010573F">
      <w:pPr>
        <w:tabs>
          <w:tab w:val="left" w:pos="688"/>
          <w:tab w:val="left" w:pos="734"/>
          <w:tab w:val="left" w:pos="797"/>
          <w:tab w:val="left" w:pos="844"/>
        </w:tabs>
        <w:suppressAutoHyphens/>
        <w:jc w:val="both"/>
        <w:outlineLvl w:val="0"/>
      </w:pPr>
      <w:r>
        <w:rPr>
          <w:bCs/>
        </w:rPr>
        <w:t>«</w:t>
      </w:r>
    </w:p>
    <w:tbl>
      <w:tblPr>
        <w:tblW w:w="9975" w:type="dxa"/>
        <w:tblInd w:w="-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0B6A49">
        <w:trPr>
          <w:trHeight w:val="4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Общий объем финансирования муниципальной программы в 2017-2021 годах составит  </w:t>
            </w:r>
            <w:r w:rsidR="00E850B8">
              <w:rPr>
                <w:rFonts w:eastAsia="Calibri"/>
              </w:rPr>
              <w:t>57 510 344,65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E850B8">
              <w:rPr>
                <w:rFonts w:eastAsia="Calibri"/>
              </w:rPr>
              <w:t>57 510 344,65</w:t>
            </w:r>
            <w:r w:rsidR="00E850B8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 w:rsidR="00EB1446"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2019 г. – </w:t>
            </w:r>
            <w:r w:rsidR="00E850B8">
              <w:rPr>
                <w:rFonts w:eastAsia="Calibri"/>
              </w:rPr>
              <w:t>12 595 501,06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E850B8">
              <w:rPr>
                <w:rFonts w:eastAsia="Calibri"/>
              </w:rPr>
              <w:t>12 595 501,06</w:t>
            </w:r>
            <w:r w:rsidR="00E850B8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2020 г. –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24346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2021 г. –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рублей.</w:t>
            </w:r>
          </w:p>
        </w:tc>
      </w:tr>
    </w:tbl>
    <w:p w:rsidR="004844ED" w:rsidRPr="00863C32" w:rsidRDefault="00863C32" w:rsidP="00863C32">
      <w:pPr>
        <w:suppressAutoHyphens/>
        <w:autoSpaceDN w:val="0"/>
        <w:textAlignment w:val="baseline"/>
      </w:pPr>
      <w:r>
        <w:t xml:space="preserve">                                                                                                                                            </w:t>
      </w:r>
      <w:r w:rsidR="00530272">
        <w:t xml:space="preserve">         </w:t>
      </w:r>
      <w:r>
        <w:t xml:space="preserve">  »;</w:t>
      </w:r>
    </w:p>
    <w:p w:rsidR="00863C32" w:rsidRPr="00863C32" w:rsidRDefault="00863C32" w:rsidP="00863C32">
      <w:pPr>
        <w:pStyle w:val="aff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63C32">
        <w:rPr>
          <w:rFonts w:ascii="Times New Roman" w:hAnsi="Times New Roman"/>
          <w:bCs/>
          <w:sz w:val="24"/>
          <w:szCs w:val="24"/>
        </w:rPr>
        <w:t>в паспорте подпрограммы</w:t>
      </w:r>
      <w:r w:rsidRPr="00863C32">
        <w:rPr>
          <w:rFonts w:ascii="Times New Roman" w:hAnsi="Times New Roman"/>
          <w:sz w:val="24"/>
          <w:szCs w:val="24"/>
        </w:rPr>
        <w:t xml:space="preserve"> «Организация и обеспечение бюджетного процесса в </w:t>
      </w:r>
    </w:p>
    <w:p w:rsidR="00863C32" w:rsidRDefault="00863C32" w:rsidP="00863C32">
      <w:r>
        <w:t>городском округе «Вуктыл»</w:t>
      </w:r>
      <w:r>
        <w:rPr>
          <w:lang w:eastAsia="en-US"/>
        </w:rPr>
        <w:t xml:space="preserve"> (далее – подпрограмма </w:t>
      </w:r>
      <w:r>
        <w:rPr>
          <w:lang w:val="en-US" w:eastAsia="en-US"/>
        </w:rPr>
        <w:t>II</w:t>
      </w:r>
      <w:r>
        <w:rPr>
          <w:lang w:eastAsia="en-US"/>
        </w:rPr>
        <w:t>):</w:t>
      </w:r>
    </w:p>
    <w:p w:rsidR="00863C32" w:rsidRDefault="00863C32" w:rsidP="00863C32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строку «Объемы </w:t>
      </w:r>
      <w:r w:rsidR="009D69C3">
        <w:rPr>
          <w:lang w:eastAsia="en-US"/>
        </w:rPr>
        <w:t>финансирования</w:t>
      </w:r>
      <w:r>
        <w:rPr>
          <w:lang w:eastAsia="en-US"/>
        </w:rPr>
        <w:t xml:space="preserve"> подпрограммы </w:t>
      </w:r>
      <w:r>
        <w:rPr>
          <w:lang w:val="en-US" w:eastAsia="en-US"/>
        </w:rPr>
        <w:t>II</w:t>
      </w:r>
      <w:r>
        <w:rPr>
          <w:lang w:eastAsia="en-US"/>
        </w:rPr>
        <w:t>» изложить в следующей редакции:</w:t>
      </w:r>
    </w:p>
    <w:p w:rsidR="004844ED" w:rsidRPr="004844ED" w:rsidRDefault="00863C32" w:rsidP="00863C32">
      <w:pPr>
        <w:rPr>
          <w:b/>
          <w:bCs/>
          <w:lang w:eastAsia="en-US"/>
        </w:rPr>
      </w:pPr>
      <w:r>
        <w:rPr>
          <w:lang w:eastAsia="en-US"/>
        </w:rPr>
        <w:t>«</w:t>
      </w: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в 2017-2021 годах составит –16</w:t>
            </w:r>
            <w:r w:rsidR="00863C32">
              <w:rPr>
                <w:rFonts w:eastAsia="Calibri"/>
                <w:lang w:eastAsia="en-US"/>
              </w:rPr>
              <w:t> 171 036,63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863C32" w:rsidRPr="004844ED">
              <w:rPr>
                <w:lang w:eastAsia="en-US"/>
              </w:rPr>
              <w:t>16</w:t>
            </w:r>
            <w:r w:rsidR="00863C32">
              <w:rPr>
                <w:rFonts w:eastAsia="Calibri"/>
                <w:lang w:eastAsia="en-US"/>
              </w:rPr>
              <w:t> 171 036,63</w:t>
            </w:r>
            <w:r w:rsidR="00863C32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3</w:t>
            </w:r>
            <w:r w:rsidR="00863C32">
              <w:rPr>
                <w:rFonts w:eastAsia="Calibri"/>
              </w:rPr>
              <w:t> 059 433,40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863C32" w:rsidRPr="004844ED">
              <w:rPr>
                <w:rFonts w:eastAsia="Calibri"/>
              </w:rPr>
              <w:t>3</w:t>
            </w:r>
            <w:r w:rsidR="00863C32">
              <w:rPr>
                <w:rFonts w:eastAsia="Calibri"/>
              </w:rPr>
              <w:t> 059 433,40</w:t>
            </w:r>
            <w:r w:rsidR="00863C32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>2021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  <w:lang w:eastAsia="en-US"/>
              </w:rPr>
              <w:t>рублей.</w:t>
            </w:r>
          </w:p>
        </w:tc>
      </w:tr>
    </w:tbl>
    <w:p w:rsidR="004844ED" w:rsidRDefault="00530272" w:rsidP="00530272">
      <w:pPr>
        <w:jc w:val="center"/>
        <w:rPr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530272" w:rsidRDefault="00530272" w:rsidP="00530272">
      <w:pPr>
        <w:suppressAutoHyphens/>
        <w:autoSpaceDN w:val="0"/>
        <w:ind w:firstLine="720"/>
        <w:textAlignment w:val="baseline"/>
        <w:rPr>
          <w:lang w:eastAsia="en-US"/>
        </w:rPr>
      </w:pPr>
      <w:r>
        <w:rPr>
          <w:lang w:eastAsia="en-US"/>
        </w:rPr>
        <w:t>3)</w:t>
      </w:r>
      <w:r>
        <w:rPr>
          <w:lang w:eastAsia="en-US"/>
        </w:rPr>
        <w:tab/>
        <w:t>в паспорте подпрограммы « Обеспечение реализации муниципальной программы»  (далее – подпрограмма III):</w:t>
      </w:r>
    </w:p>
    <w:p w:rsidR="00530272" w:rsidRDefault="00530272" w:rsidP="00530272">
      <w:pPr>
        <w:suppressAutoHyphens/>
        <w:autoSpaceDN w:val="0"/>
        <w:ind w:firstLine="720"/>
        <w:textAlignment w:val="baseline"/>
        <w:rPr>
          <w:lang w:eastAsia="en-US"/>
        </w:rPr>
      </w:pPr>
      <w:r>
        <w:rPr>
          <w:lang w:eastAsia="en-US"/>
        </w:rPr>
        <w:t>строку «Объемы финансирования  подпрограммы II» изложить в следующей редакции:</w:t>
      </w:r>
    </w:p>
    <w:p w:rsidR="00863C32" w:rsidRDefault="00530272" w:rsidP="004844ED">
      <w:pPr>
        <w:suppressAutoHyphens/>
        <w:autoSpaceDN w:val="0"/>
        <w:textAlignment w:val="baseline"/>
        <w:rPr>
          <w:lang w:eastAsia="en-US"/>
        </w:rPr>
      </w:pPr>
      <w:r>
        <w:rPr>
          <w:lang w:eastAsia="en-US"/>
        </w:rPr>
        <w:t>«</w:t>
      </w: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в 2017-2021 годах составит –  </w:t>
            </w:r>
            <w:r w:rsidR="002A2CF9">
              <w:rPr>
                <w:lang w:eastAsia="en-US"/>
              </w:rPr>
              <w:t>41 339 308,02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2A2CF9">
              <w:rPr>
                <w:lang w:eastAsia="en-US"/>
              </w:rPr>
              <w:t>41 339 308,02</w:t>
            </w:r>
            <w:r w:rsidR="004E1E8D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2019 г. – </w:t>
            </w:r>
            <w:r w:rsidR="002A2CF9">
              <w:rPr>
                <w:rFonts w:eastAsia="Calibri"/>
              </w:rPr>
              <w:t>9 536 067,66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2A2CF9">
              <w:rPr>
                <w:rFonts w:eastAsia="Calibri"/>
              </w:rPr>
              <w:t>9 536 067,66</w:t>
            </w:r>
            <w:r w:rsidR="002A2CF9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7 021 168,5</w:t>
            </w:r>
            <w:r w:rsidR="00C1488C">
              <w:rPr>
                <w:rFonts w:eastAsia="Calibri"/>
              </w:rPr>
              <w:t>7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C1488C">
              <w:rPr>
                <w:rFonts w:eastAsia="Calibri"/>
                <w:lang w:eastAsia="en-US"/>
              </w:rPr>
              <w:t>7 021 168,57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C1488C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2021 г. – 7 021 168,57</w:t>
            </w:r>
            <w:r w:rsidR="004844ED"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>«Вуктыл» 7 021 168,57</w:t>
            </w:r>
            <w:r w:rsidR="004844ED" w:rsidRPr="004844ED">
              <w:rPr>
                <w:rFonts w:eastAsia="Calibri"/>
                <w:lang w:eastAsia="en-US"/>
              </w:rPr>
              <w:t xml:space="preserve"> рублей.</w:t>
            </w:r>
          </w:p>
        </w:tc>
      </w:tr>
    </w:tbl>
    <w:p w:rsidR="00764715" w:rsidRDefault="00764715" w:rsidP="00764715">
      <w:pPr>
        <w:jc w:val="center"/>
        <w:rPr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4844ED" w:rsidRDefault="004844ED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Pr="004844ED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C27E89" w:rsidRPr="004844ED">
          <w:footerReference w:type="default" r:id="rId10"/>
          <w:pgSz w:w="11906" w:h="16838"/>
          <w:pgMar w:top="1134" w:right="850" w:bottom="1134" w:left="1701" w:header="720" w:footer="708" w:gutter="0"/>
          <w:cols w:space="720"/>
        </w:sectPr>
      </w:pPr>
    </w:p>
    <w:p w:rsidR="00C27E89" w:rsidRDefault="00C27E89" w:rsidP="00C27E89">
      <w:pPr>
        <w:tabs>
          <w:tab w:val="left" w:pos="844"/>
          <w:tab w:val="left" w:pos="1156"/>
          <w:tab w:val="left" w:pos="8505"/>
        </w:tabs>
        <w:outlineLvl w:val="0"/>
      </w:pPr>
      <w:r>
        <w:rPr>
          <w:lang w:eastAsia="en-US"/>
        </w:rPr>
        <w:lastRenderedPageBreak/>
        <w:t xml:space="preserve">               4) в приложении к муниципальной программе :</w:t>
      </w:r>
    </w:p>
    <w:p w:rsidR="00C27E89" w:rsidRDefault="00C27E89" w:rsidP="009E0C15">
      <w:pPr>
        <w:tabs>
          <w:tab w:val="left" w:pos="567"/>
          <w:tab w:val="left" w:pos="993"/>
        </w:tabs>
        <w:jc w:val="both"/>
        <w:rPr>
          <w:bCs/>
        </w:rPr>
      </w:pPr>
      <w:r>
        <w:rPr>
          <w:lang w:eastAsia="en-US"/>
        </w:rPr>
        <w:t xml:space="preserve">               </w:t>
      </w:r>
      <w:r>
        <w:rPr>
          <w:bCs/>
          <w:lang w:eastAsia="en-US"/>
        </w:rPr>
        <w:t xml:space="preserve">а) в  </w:t>
      </w:r>
      <w:r>
        <w:rPr>
          <w:bCs/>
        </w:rPr>
        <w:t>таблице 4:</w:t>
      </w:r>
    </w:p>
    <w:p w:rsidR="00C27E89" w:rsidRDefault="00C27E89" w:rsidP="00C27E89">
      <w:pPr>
        <w:tabs>
          <w:tab w:val="left" w:pos="567"/>
        </w:tabs>
        <w:jc w:val="both"/>
        <w:rPr>
          <w:bCs/>
          <w:lang w:eastAsia="en-US"/>
        </w:rPr>
      </w:pPr>
      <w:r>
        <w:rPr>
          <w:bCs/>
        </w:rPr>
        <w:t xml:space="preserve">               позицию 3  изложить в следующей редакции:</w:t>
      </w:r>
    </w:p>
    <w:p w:rsidR="00C27E89" w:rsidRDefault="00C27E89" w:rsidP="00C27E89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9"/>
        <w:gridCol w:w="2063"/>
        <w:gridCol w:w="1391"/>
        <w:gridCol w:w="1357"/>
        <w:gridCol w:w="2534"/>
        <w:gridCol w:w="2746"/>
        <w:gridCol w:w="2648"/>
      </w:tblGrid>
      <w:tr w:rsidR="00C27E89" w:rsidRPr="004844ED" w:rsidTr="000E28E7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C27E89" w:rsidRPr="004844ED" w:rsidRDefault="00C27E89" w:rsidP="000E28E7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C27E89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textAlignment w:val="baseline"/>
            </w:pPr>
            <w:r w:rsidRPr="004844ED">
              <w:t xml:space="preserve">Сбор, проверка и анализ на основании результатов итоговой оценки для формирования 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 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</w:tbl>
    <w:p w:rsidR="00C27E89" w:rsidRDefault="00C27E89" w:rsidP="00C27E89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4844ED" w:rsidRDefault="004844ED" w:rsidP="004844ED">
      <w:pPr>
        <w:suppressAutoHyphens/>
        <w:autoSpaceDN w:val="0"/>
        <w:jc w:val="right"/>
        <w:textAlignment w:val="baseline"/>
        <w:rPr>
          <w:rFonts w:cs="Arial"/>
          <w:lang w:eastAsia="en-US"/>
        </w:rPr>
      </w:pPr>
    </w:p>
    <w:p w:rsidR="009E0C15" w:rsidRDefault="009E0C15" w:rsidP="009E0C15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б) в  </w:t>
      </w:r>
      <w:r>
        <w:rPr>
          <w:bCs/>
        </w:rPr>
        <w:t>таблице 6:</w:t>
      </w:r>
    </w:p>
    <w:p w:rsidR="009E0C15" w:rsidRDefault="009E0C15" w:rsidP="00B35746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 позицию 1  изложить в следующей редакции:</w:t>
      </w:r>
    </w:p>
    <w:p w:rsidR="009E0C15" w:rsidRDefault="009E0C15" w:rsidP="009E0C15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9E0C15" w:rsidRPr="004844ED" w:rsidTr="000E28E7">
        <w:trPr>
          <w:trHeight w:val="315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57 510 344,65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9E0C15" w:rsidRPr="004844ED" w:rsidTr="000E28E7">
        <w:trPr>
          <w:trHeight w:val="836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57 510 344,65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9E0C15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0C15">
              <w:rPr>
                <w:bCs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9E0C15" w:rsidRPr="004844ED" w:rsidTr="000E28E7">
        <w:trPr>
          <w:trHeight w:val="540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 - администрация городского округа 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35746" w:rsidRDefault="00011E3F" w:rsidP="00011E3F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ab/>
      </w:r>
      <w:r>
        <w:rPr>
          <w:bCs/>
        </w:rPr>
        <w:tab/>
      </w:r>
      <w:r w:rsidR="00B35746">
        <w:rPr>
          <w:bCs/>
        </w:rPr>
        <w:t>позицию 9  изложить в следующей редакции:</w:t>
      </w:r>
    </w:p>
    <w:p w:rsidR="00B35746" w:rsidRDefault="00B35746" w:rsidP="00B35746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B35746" w:rsidRPr="004844ED" w:rsidTr="000E28E7">
        <w:trPr>
          <w:trHeight w:val="329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B35746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lang w:eastAsia="en-US"/>
              </w:rPr>
              <w:t> 171 036,63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B35746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B35746" w:rsidRPr="004844ED" w:rsidTr="000E28E7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16 171 036,63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</w:tbl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011E3F" w:rsidRDefault="00011E3F" w:rsidP="00011E3F">
      <w:pPr>
        <w:tabs>
          <w:tab w:val="left" w:pos="567"/>
        </w:tabs>
        <w:jc w:val="both"/>
        <w:rPr>
          <w:bCs/>
          <w:lang w:eastAsia="en-US"/>
        </w:rPr>
      </w:pPr>
      <w:r>
        <w:rPr>
          <w:bCs/>
        </w:rPr>
        <w:t xml:space="preserve">              позицию 14  изложить в следующей редакции:</w:t>
      </w:r>
    </w:p>
    <w:p w:rsidR="00011E3F" w:rsidRDefault="00011E3F" w:rsidP="00011E3F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011E3F" w:rsidRPr="004844ED" w:rsidTr="000E28E7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16 171 036,63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</w:tbl>
    <w:p w:rsidR="00011E3F" w:rsidRDefault="00011E3F" w:rsidP="00011E3F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1D0E63" w:rsidRDefault="001D0E63" w:rsidP="001D0E63">
      <w:pPr>
        <w:tabs>
          <w:tab w:val="left" w:pos="567"/>
        </w:tabs>
        <w:jc w:val="both"/>
        <w:rPr>
          <w:bCs/>
          <w:lang w:eastAsia="en-US"/>
        </w:rPr>
      </w:pPr>
      <w:r>
        <w:rPr>
          <w:bCs/>
        </w:rPr>
        <w:t xml:space="preserve">              позицию 15  изложить в следующей редакции:</w:t>
      </w:r>
    </w:p>
    <w:p w:rsidR="009E0C15" w:rsidRDefault="001D0E63" w:rsidP="001D0E63">
      <w:pPr>
        <w:ind w:left="360"/>
        <w:jc w:val="both"/>
        <w:rPr>
          <w:rFonts w:cs="Arial"/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1D0E63" w:rsidRPr="004844ED" w:rsidTr="000E28E7">
        <w:trPr>
          <w:trHeight w:val="343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41 339 308,02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</w:tr>
      <w:tr w:rsidR="001D0E63" w:rsidRPr="004844ED" w:rsidTr="000E28E7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</w:t>
            </w:r>
            <w:r w:rsidRPr="004844ED">
              <w:rPr>
                <w:lang w:eastAsia="en-US"/>
              </w:rPr>
              <w:lastRenderedPageBreak/>
              <w:t>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41 339 308,02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</w:tbl>
    <w:p w:rsidR="001D0E63" w:rsidRDefault="001D0E63" w:rsidP="001D0E63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1D0E63" w:rsidRDefault="001D0E63" w:rsidP="001D0E63">
      <w:pPr>
        <w:tabs>
          <w:tab w:val="left" w:pos="567"/>
          <w:tab w:val="left" w:pos="1134"/>
          <w:tab w:val="left" w:pos="1276"/>
        </w:tabs>
        <w:jc w:val="both"/>
        <w:rPr>
          <w:bCs/>
          <w:lang w:eastAsia="en-US"/>
        </w:rPr>
      </w:pPr>
      <w:r>
        <w:rPr>
          <w:bCs/>
        </w:rPr>
        <w:tab/>
        <w:t xml:space="preserve">      позицию 16  изложить в следующей редакции:</w:t>
      </w:r>
    </w:p>
    <w:p w:rsidR="001D0E63" w:rsidRDefault="001D0E63" w:rsidP="001D0E63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1D0E63" w:rsidRPr="004844ED" w:rsidTr="000E28E7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41 339 308,02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</w:tbl>
    <w:p w:rsidR="00BC0EA1" w:rsidRDefault="00BC0EA1" w:rsidP="00BC0EA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C0EA1" w:rsidRDefault="00BC0EA1" w:rsidP="00BC0EA1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в) в  </w:t>
      </w:r>
      <w:r>
        <w:rPr>
          <w:bCs/>
        </w:rPr>
        <w:t>таблице 7:</w:t>
      </w:r>
    </w:p>
    <w:p w:rsidR="00BC0EA1" w:rsidRDefault="00BC0EA1" w:rsidP="00BC0EA1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 позицию 1  изложить в следующей редакции:</w:t>
      </w:r>
    </w:p>
    <w:p w:rsidR="00623BA0" w:rsidRDefault="00BC0EA1" w:rsidP="00BC0EA1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EB045C" w:rsidRPr="004844ED" w:rsidTr="000E28E7">
        <w:trPr>
          <w:trHeight w:val="40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57 510 344,65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12 105 415,52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EB045C" w:rsidRPr="004844ED" w:rsidTr="000E28E7">
        <w:trPr>
          <w:trHeight w:val="312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57 510 344,65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12 105 </w:t>
            </w:r>
            <w:r w:rsidRPr="004844ED">
              <w:rPr>
                <w:sz w:val="22"/>
                <w:szCs w:val="22"/>
                <w:lang w:eastAsia="en-US"/>
              </w:rPr>
              <w:t>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EB045C" w:rsidRPr="004844ED" w:rsidTr="00EB045C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EB045C">
        <w:trPr>
          <w:trHeight w:val="35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346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23BA0" w:rsidRDefault="00623BA0" w:rsidP="00623BA0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E7656A" w:rsidRDefault="00EB045C" w:rsidP="00E7656A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позицию 9  изложить в следующей редакции:</w:t>
      </w:r>
    </w:p>
    <w:p w:rsidR="00EB045C" w:rsidRDefault="00EB045C" w:rsidP="00E7656A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EB045C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16</w:t>
            </w:r>
            <w:r w:rsidR="00E7656A">
              <w:rPr>
                <w:b/>
                <w:bCs/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E7656A">
              <w:rPr>
                <w:b/>
                <w:bCs/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EB045C" w:rsidRPr="004844ED" w:rsidTr="00E7656A">
        <w:trPr>
          <w:trHeight w:val="1889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16</w:t>
            </w:r>
            <w:r w:rsidR="00E7656A">
              <w:rPr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</w:t>
            </w:r>
            <w:r w:rsidR="00E7656A">
              <w:rPr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E7656A" w:rsidRDefault="00E7656A" w:rsidP="00E7656A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442220" w:rsidRDefault="00442220" w:rsidP="00442220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позицию 14  изложить в следующей редакции:</w:t>
      </w:r>
    </w:p>
    <w:p w:rsidR="00442220" w:rsidRDefault="00442220" w:rsidP="00442220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442220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42220" w:rsidRPr="004844ED" w:rsidRDefault="00442220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442220" w:rsidRPr="004844ED" w:rsidTr="00B9530F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442220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42220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42220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C723AA" w:rsidRDefault="00E7656A" w:rsidP="00C723AA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ab/>
      </w:r>
      <w:r w:rsidR="00C723AA">
        <w:rPr>
          <w:lang w:eastAsia="en-US"/>
        </w:rPr>
        <w:t>»;</w:t>
      </w:r>
    </w:p>
    <w:p w:rsidR="00C723AA" w:rsidRDefault="00C723AA" w:rsidP="00C723AA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позицию 15  изложить в следующей редакции:</w:t>
      </w:r>
    </w:p>
    <w:p w:rsidR="00C723AA" w:rsidRDefault="00C723AA" w:rsidP="00C723AA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C723AA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41 339 308,02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</w:tr>
      <w:tr w:rsidR="00C723AA" w:rsidRPr="004844ED" w:rsidTr="00F44521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</w:t>
            </w:r>
            <w:r w:rsidRPr="004844ED">
              <w:rPr>
                <w:lang w:eastAsia="en-US"/>
              </w:rPr>
              <w:lastRenderedPageBreak/>
              <w:t>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41 339 308,02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</w:tr>
      <w:tr w:rsidR="00C723AA" w:rsidRPr="004844ED" w:rsidTr="00F44521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723AA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723AA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F44521" w:rsidRDefault="00F44521" w:rsidP="00F4452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F44521" w:rsidRDefault="00F44521" w:rsidP="00F44521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позицию 16  изложить в следующей редакции:</w:t>
      </w:r>
    </w:p>
    <w:p w:rsidR="00F44521" w:rsidRDefault="00F44521" w:rsidP="00F44521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CF48B3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bookmarkStart w:id="1" w:name="_GoBack" w:colFirst="4" w:colLast="9"/>
            <w:r w:rsidRPr="004844ED">
              <w:rPr>
                <w:lang w:eastAsia="en-US"/>
              </w:rPr>
              <w:t>16.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CF48B3" w:rsidRPr="004844ED" w:rsidRDefault="00CF48B3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41 339 308,02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</w:tr>
      <w:tr w:rsidR="00CF48B3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41 339 308,02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</w:tr>
      <w:bookmarkEnd w:id="1"/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</w:t>
            </w:r>
            <w:r w:rsidRPr="004844ED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F44521" w:rsidRDefault="00F44521" w:rsidP="00F4452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».</w:t>
      </w:r>
    </w:p>
    <w:p w:rsidR="00EB045C" w:rsidRDefault="00EB045C" w:rsidP="00E7656A">
      <w:pPr>
        <w:tabs>
          <w:tab w:val="left" w:pos="13320"/>
        </w:tabs>
        <w:ind w:left="360"/>
        <w:jc w:val="both"/>
        <w:rPr>
          <w:lang w:eastAsia="en-US"/>
        </w:rPr>
      </w:pPr>
    </w:p>
    <w:p w:rsidR="00EB045C" w:rsidRDefault="00EB045C" w:rsidP="00623BA0">
      <w:pPr>
        <w:tabs>
          <w:tab w:val="left" w:pos="12660"/>
        </w:tabs>
        <w:jc w:val="right"/>
        <w:rPr>
          <w:lang w:eastAsia="en-US"/>
        </w:rPr>
      </w:pPr>
    </w:p>
    <w:p w:rsidR="001D0E63" w:rsidRDefault="001D0E63" w:rsidP="00BC0EA1">
      <w:pPr>
        <w:ind w:left="360"/>
        <w:jc w:val="right"/>
        <w:rPr>
          <w:rFonts w:cs="Arial"/>
          <w:lang w:eastAsia="en-US"/>
        </w:rPr>
      </w:pPr>
    </w:p>
    <w:p w:rsidR="009E0C15" w:rsidRPr="004844ED" w:rsidRDefault="009E0C15" w:rsidP="004844ED">
      <w:pPr>
        <w:suppressAutoHyphens/>
        <w:autoSpaceDN w:val="0"/>
        <w:jc w:val="right"/>
        <w:textAlignment w:val="baseline"/>
        <w:rPr>
          <w:rFonts w:cs="Arial"/>
          <w:lang w:eastAsia="en-US"/>
        </w:rPr>
      </w:pPr>
    </w:p>
    <w:p w:rsid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Pr="004844ED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F44521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F44521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sectPr w:rsidR="00952610" w:rsidSect="00FB72C5">
      <w:headerReference w:type="default" r:id="rId11"/>
      <w:footerReference w:type="default" r:id="rId12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3F" w:rsidRDefault="0010573F">
      <w:r>
        <w:separator/>
      </w:r>
    </w:p>
  </w:endnote>
  <w:endnote w:type="continuationSeparator" w:id="0">
    <w:p w:rsidR="0010573F" w:rsidRDefault="0010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e"/>
      <w:jc w:val="right"/>
    </w:pPr>
  </w:p>
  <w:p w:rsidR="0010573F" w:rsidRDefault="0010573F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e"/>
      <w:jc w:val="right"/>
    </w:pPr>
  </w:p>
  <w:p w:rsidR="0010573F" w:rsidRDefault="0010573F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3F" w:rsidRDefault="0010573F">
      <w:r>
        <w:separator/>
      </w:r>
    </w:p>
  </w:footnote>
  <w:footnote w:type="continuationSeparator" w:id="0">
    <w:p w:rsidR="0010573F" w:rsidRDefault="0010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d"/>
      <w:jc w:val="center"/>
    </w:pPr>
  </w:p>
  <w:p w:rsidR="0010573F" w:rsidRDefault="0010573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FAF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BAA707B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11E3F"/>
    <w:rsid w:val="000637E5"/>
    <w:rsid w:val="000B6A49"/>
    <w:rsid w:val="0010573F"/>
    <w:rsid w:val="001246E1"/>
    <w:rsid w:val="001A6F51"/>
    <w:rsid w:val="001D0E63"/>
    <w:rsid w:val="0024346A"/>
    <w:rsid w:val="00251133"/>
    <w:rsid w:val="002A2CF9"/>
    <w:rsid w:val="002F3838"/>
    <w:rsid w:val="00442220"/>
    <w:rsid w:val="00444C8C"/>
    <w:rsid w:val="004844ED"/>
    <w:rsid w:val="004E1E8D"/>
    <w:rsid w:val="00530272"/>
    <w:rsid w:val="005715B8"/>
    <w:rsid w:val="005762F1"/>
    <w:rsid w:val="00623BA0"/>
    <w:rsid w:val="00657578"/>
    <w:rsid w:val="006E36D5"/>
    <w:rsid w:val="00764715"/>
    <w:rsid w:val="00863C32"/>
    <w:rsid w:val="00952610"/>
    <w:rsid w:val="009D69C3"/>
    <w:rsid w:val="009E0C15"/>
    <w:rsid w:val="00A05CB3"/>
    <w:rsid w:val="00B35746"/>
    <w:rsid w:val="00B53D4F"/>
    <w:rsid w:val="00BA0689"/>
    <w:rsid w:val="00BC0EA1"/>
    <w:rsid w:val="00BE0FC6"/>
    <w:rsid w:val="00BF6C08"/>
    <w:rsid w:val="00C1488C"/>
    <w:rsid w:val="00C27E89"/>
    <w:rsid w:val="00C62821"/>
    <w:rsid w:val="00C723AA"/>
    <w:rsid w:val="00CC736E"/>
    <w:rsid w:val="00CF48B3"/>
    <w:rsid w:val="00D32DC6"/>
    <w:rsid w:val="00D35714"/>
    <w:rsid w:val="00DC52ED"/>
    <w:rsid w:val="00DD1008"/>
    <w:rsid w:val="00E7656A"/>
    <w:rsid w:val="00E850B8"/>
    <w:rsid w:val="00EB045C"/>
    <w:rsid w:val="00EB1446"/>
    <w:rsid w:val="00EF23F7"/>
    <w:rsid w:val="00F1372A"/>
    <w:rsid w:val="00F44521"/>
    <w:rsid w:val="00F47702"/>
    <w:rsid w:val="00F5128C"/>
    <w:rsid w:val="00F5262D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NoList"/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  <w:style w:type="numbering" w:customStyle="1" w:styleId="60">
    <w:name w:val="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C702-ABAE-4569-B923-DD74976A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12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327</cp:revision>
  <cp:lastPrinted>2019-10-16T06:27:00Z</cp:lastPrinted>
  <dcterms:created xsi:type="dcterms:W3CDTF">2016-10-03T11:26:00Z</dcterms:created>
  <dcterms:modified xsi:type="dcterms:W3CDTF">2019-10-16T06:36:00Z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