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FE" w:rsidRDefault="002026FE" w:rsidP="002026FE">
      <w:pPr>
        <w:autoSpaceDE w:val="0"/>
        <w:autoSpaceDN w:val="0"/>
        <w:adjustRightInd w:val="0"/>
        <w:spacing w:after="0" w:line="240" w:lineRule="auto"/>
        <w:ind w:left="9411"/>
        <w:jc w:val="center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УТВЕРЖДЕН</w:t>
      </w:r>
    </w:p>
    <w:p w:rsidR="002026FE" w:rsidRDefault="002026FE" w:rsidP="002026FE">
      <w:pPr>
        <w:autoSpaceDE w:val="0"/>
        <w:autoSpaceDN w:val="0"/>
        <w:adjustRightInd w:val="0"/>
        <w:spacing w:after="0" w:line="240" w:lineRule="auto"/>
        <w:ind w:left="9411"/>
        <w:jc w:val="center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постановлением администрации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left="9411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городского округа </w:t>
      </w:r>
      <w:r w:rsidRPr="002026FE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Вуктыл</w:t>
      </w:r>
      <w:r w:rsidRPr="002026FE">
        <w:rPr>
          <w:rFonts w:ascii="Times New Roman" w:hAnsi="Times New Roman" w:cs="Times New Roman"/>
          <w:color w:val="00000A"/>
          <w:sz w:val="24"/>
          <w:szCs w:val="24"/>
        </w:rPr>
        <w:t>»</w:t>
      </w:r>
    </w:p>
    <w:p w:rsidR="002026FE" w:rsidRDefault="002026FE" w:rsidP="002026FE">
      <w:pPr>
        <w:tabs>
          <w:tab w:val="left" w:pos="9689"/>
        </w:tabs>
        <w:autoSpaceDE w:val="0"/>
        <w:autoSpaceDN w:val="0"/>
        <w:adjustRightInd w:val="0"/>
        <w:spacing w:after="0" w:line="264" w:lineRule="auto"/>
        <w:ind w:left="9411"/>
        <w:jc w:val="center"/>
        <w:rPr>
          <w:rFonts w:ascii="Times New Roman CYR" w:hAnsi="Times New Roman CYR" w:cs="Times New Roman CYR"/>
          <w:color w:val="00000A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pacing w:val="-1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«13 » </w:t>
      </w:r>
      <w:r>
        <w:rPr>
          <w:rFonts w:ascii="Times New Roman CYR" w:hAnsi="Times New Roman CYR" w:cs="Times New Roman CYR"/>
          <w:color w:val="00000A"/>
          <w:spacing w:val="-10"/>
          <w:sz w:val="24"/>
          <w:szCs w:val="24"/>
        </w:rPr>
        <w:t>марта 2019 года № 03/221</w:t>
      </w:r>
    </w:p>
    <w:p w:rsidR="002026FE" w:rsidRDefault="002026FE" w:rsidP="002026FE">
      <w:pPr>
        <w:autoSpaceDE w:val="0"/>
        <w:autoSpaceDN w:val="0"/>
        <w:adjustRightInd w:val="0"/>
        <w:spacing w:after="0" w:line="240" w:lineRule="auto"/>
        <w:ind w:left="9411"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</w:rPr>
        <w:t>приложение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 № 2)</w:t>
      </w:r>
    </w:p>
    <w:p w:rsid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ПЛАН</w:t>
      </w:r>
    </w:p>
    <w:p w:rsid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 w:rsidRPr="002026FE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мероприятий по реализации национального проекта </w:t>
      </w:r>
      <w:r w:rsidRPr="002026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Демография</w:t>
      </w:r>
      <w:r w:rsidRPr="002026FE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на территории муниципального образования городского округа </w:t>
      </w:r>
      <w:r w:rsidRPr="002026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Вуктыл</w:t>
      </w:r>
      <w:r w:rsidRPr="002026FE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на 2019-2024 годы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15194" w:type="dxa"/>
        <w:tblInd w:w="139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3225"/>
        <w:gridCol w:w="1125"/>
        <w:gridCol w:w="3269"/>
        <w:gridCol w:w="2250"/>
        <w:gridCol w:w="2280"/>
        <w:gridCol w:w="3045"/>
      </w:tblGrid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Период реализации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Ожидаемый результат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Объем средств, тыс. рублей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Примечания</w:t>
            </w:r>
          </w:p>
        </w:tc>
      </w:tr>
      <w:tr w:rsidR="002026FE" w:rsidRP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Финансовая поддержка семей при рождении детей</w:t>
            </w: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Обеспечение публикаций в средствах массовой информации, не менее 12 материалов в год, направленных на популяризацию системы мер финансовой поддержки семей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информационно-телекоммуникационной кампании для всех целевых аудиторий в целях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популяризации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системы мер финансовой поддержки семей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Отдел по социальной политике администрации городского округа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далее - ОСП), Государственное бюджетное учреждение Республики Коми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Центр по предоставлению государственных услуг в сфере социальной защиты населения города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далее - ГБУ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ЦСЗН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RPr="002026FE" w:rsidTr="0059496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Включение молодых семей с детьми, признанных в установленном порядке, нуждающимися в улучшении жилищных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условий, в региональные и федеральные жилищные программы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Поддержка молодых семей в улучшении жилищных условий. Предоставление социальных выплат на приобретение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(строительство) жилья не менее 2 семьям ежегодно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ОСП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 менее 300 тыс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уб. ежегодно за счет местного бюджета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Предоставление земельных участков для индивидуального жилищного строительства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14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семьям, имеющим трех и более детей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Улучшение жилищных условий семей, имеющих трех и более детей, включая создание необходимой инфраструктуры на предоставляемых земельных участках, развитие возможностей многодетной семьи  Предоставление земельных участков для улучшения жилищных условий по обращению.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Отдел по управлению имуществом администрации городского округа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далее - ОУИ)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RP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Содействие занятости женщин - доступность дошкольного образования для детей</w:t>
            </w: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Организация и проведение на базе консультативного пункта муниципального бюджетного дошкольного образовательного учреждения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Детский сад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Дюймовочка</w:t>
            </w:r>
            <w:proofErr w:type="spellEnd"/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г. Вуктыл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семинаров-практикумов, тренингов, мастер-классов, коррекционно-развивающих занятий для родителей (законных представителей), имеющих детей дошкольного возраста:</w:t>
            </w:r>
          </w:p>
          <w:p w:rsid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посещающих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дошкольные образовательные учреждения;</w:t>
            </w:r>
          </w:p>
          <w:p w:rsid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имеющие ограниченные возможности здоровья, по вопросам развития и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социальной адаптации;</w:t>
            </w:r>
          </w:p>
          <w:p w:rsidR="002026FE" w:rsidRP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оказание квалифицированной помощи в соответствии с индивидуальными особенностями детей.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2019 - 2024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успешной адаптации при поступлении ребенка в дошкольное образовательное учреждение; оказание квалифицированной помощи в связи с индивидуальными особенностями в развитии ребенка; повышение  компетентности родителей (законных представителей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вопросах воспитания, обучения и развития ребенка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Управление образования администрации городского округа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далее - УО)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 w:rsidP="00594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2.2.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Информирование граждан о реализации мер, направленных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(переобучения, повышения квалификации) женщин, находящихся в отпуске по уходу за ребенком до достижения им возраста трех лет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Разработка буклетов, размещение информации в  СМИ, проведение консультаций: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информирование населения о мерах, направленных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Оказание государственной услуги по профессиональной ориентации для женщин, воспитывающих несовершеннолетних детей, с целью самоопределения, оптимального выбора деятельности.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Проведение занятий с женщинами по социальной адаптации к меняющимся условиям рынка  труда (занятие по программе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Клуб ищущих работу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Государственное учреждение Республики Коми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Центр занятости населения города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далее - ГУ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ЦЗН г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»)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мероприятий, направленных на выявление одаренных детей, развитие их интеллектуальных и творческих способностей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 xml:space="preserve">2019 -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Проведение в год не менее 25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таких мероприятий.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Оказание социально-педагогической поддержки семьям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Без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lastRenderedPageBreak/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Старшее поколение</w:t>
            </w:r>
          </w:p>
        </w:tc>
      </w:tr>
      <w:tr w:rsidR="002026FE" w:rsidRPr="00594967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Организация работы врачей  гериатра и кардиолога в поликлинике Государственного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бюджетного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учреждения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здравоохранения Республики Коми</w:t>
            </w:r>
            <w:proofErr w:type="gramStart"/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уктыльская центральная районная больница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далее — ГБУЗ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»)(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профессиональная переподготовка по гериатрии, кардиологии; получение соответствующих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лицензий; проведение амбулаторных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приемов)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594967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49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2019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Улучшение качества лечения пожилых людей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594967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 w:rsidRPr="005949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 w:rsidRPr="005949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594967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594967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Не менее 70 процентов лиц старше трудоспособного возраста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охвачены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профилактическими осмотрами и диспансеризацией к концу 2024 года: в 2019 году не менее 23 процентов лиц старше трудоспособного возраста;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 2020 году – не менее 28 процентов лиц старше трудоспособного возраста;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 2021 году – не менее 34 процентов лиц старше трудоспособного возраста;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в 2022 году – не менее 55,7 процентов лиц старше трудоспособного возраста;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 2023 году – не менее 65,3 процентов лиц старше трудоспособного возраста;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 2024 году – не менее 70 процентов лиц старше трудоспособного возраста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594967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Раннее выявление и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профилактика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заболеваний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3.3.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Размещение на официальном сайте ГБУЗ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информационных материалов, ориентированных на пропаганду здорового образа жизни и профилактику хронических неинфекционных заболеваний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ежеквартально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Увеличения числа лиц, ориентированных на ведение здорового образа жизни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3.4.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пожилых граждан дополнительной диспансеризацией и профилактическими осмотрами, включая граждан, проживающих в сельских населенных пунктах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Раннее выявление и предупреждение заболеваний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3.5.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Вакцинация лиц старше трудоспособного возраста из групп риска, против пневмококковой инфекции до 95% к 2024г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Профилактика пневмонии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3.6.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Проведение осмотров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граждан на дому в рамках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Выездной поликлиники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и транспортировка при необходимости в стационар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ЦРБ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Раннее выявление и лечение заболеваний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3.7.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Организация информирования населения старше трудоспособного возраста о выезде в поселения  медицинских бригад для проведения диспансеризации и профилактических медицинских осмотров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охвата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граждан старше трудоспособного возраста профилактическими осмотрами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ОСП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3.8.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Реализация   межведомственного муниципального проекта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Активное долголетие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Создание условий для повышения качества жизни граждан старшего поколения, содействия их активному участию в жизни общества.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Активизация собственных возможностей пожилых людей, сохранение их социальной активности, физического и психического здоровья.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Развитие межведомственного взаимодействия в сфере организации поддержки граждан старшего поколения.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Использование личностного потенциала и жизненного опыта людей старшего возраста в укреплении связей поколений.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Обеспечение необходимых условий для успешной социально-средовой адаптации личности в период перехода в категорию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гражданин пожилого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возраста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преодоление стереотипа негативного восприятия старости).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потребностей пожилых людей, развитие их интеллектуального и творческого потенциала, современных форм общения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ГБУ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ЦСЗН г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УО, ГБУЗ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учреждения культуры, образования, дополнительного образования городского округа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тыс. руб (местный бюджет)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3.8.1.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Познавательно-образовательные мероприятия в рамках реализации программ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Равные права и возможности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Школа безопасности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Компьютерный кабинет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Старость в радость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Творческая мастерская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Занятия в художественной школе, туристические выезды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Привлечение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старшего поколения к активной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деятельности.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Активизация собственных возможностей пожилых людей, сохранение их социальной активности, физического и психического здоровья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ЦСЗН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УО, ГБУЗ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учреждения культуры, образования, дополнительного образования городского округа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3.8.2.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культурно-досуговых</w:t>
            </w:r>
            <w:proofErr w:type="spellEnd"/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мероприятий: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городских, социально-значимы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фестивали, творческие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вечера, выстави).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Работа клубов</w:t>
            </w:r>
            <w:proofErr w:type="gramStart"/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удари и сударушки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Золотой возраст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».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Реализация деятельности хора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Надежда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Общественная организация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Дети войны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Привлечение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старшего поколения к активной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деятельности.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Активизация собственных возможностей пожилых людей, сохранение их социальной активности, физического и психического здоровья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Отдел культуры и национальной политики администрации городского округа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далее - ОКНП),  ГБУ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ЦСЗН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3.8.3.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Проведение оздоровительных мероприятий в рамках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реализация подпрограммы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Сенсорная комната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».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Привлечение к участию в группе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Здоровье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2019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Улучшение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состояния граждан за счет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приобретения навыков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психомышечной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релаксации, улучшение качества жизни участников подпрограммы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Учреждения культуры, дополнительного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образования городского округа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ЦСЗН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3.9.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Ежегодная публикация в средствах массовой информации материалов на тему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Активизация участия пожилых граждан в жизни общества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Увеличение числа пожилых граждан  участвующих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 жизни общества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ЦСЗН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3.10.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Организация деятельности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мобильной бригады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ЦСЗН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г. Вуктыла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Снижение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остроты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социальных проблем, улучшение условий и повышение качества жизни граждан пожилого возраста и инвалидов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ЦСЗН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Отдел Министерства внутренних дел России по г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уктылу (далее - ОМВД), отделение надзорной деятельности и профилактической работы г.Вуктыла, Управление надзорной деятельности и профилактической работы Государственного учреждения Министерства чрезвычайных ситуаций России по Республике Коми (далее - ОНД г. Вуктыла)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Проведение семинаров (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круглых столов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»)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 районным Советом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ветеранов по вопросам социальной защиты и социального обслуживания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Повышение правовой грамотности граждан пожилого возраста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ЦСЗН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ОМВД, ОНД г. Вуктыла, УО, ОКНП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3.12.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Проведение опросов граждан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возраста с целью определения потребности в профессиональном обучении граждан данной категории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Разработка анкет, информации, с целью определения потребности в профессиональном обучении граждан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предпенсинного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возраста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ГУ РК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ЦЗН г. Вуктыла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 xml:space="preserve">Укрепление общественного здоровья </w:t>
            </w: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Проведение санитарно-просветительской работа с населением, в том числе с несовершеннолетними, по вопросам профилактики абортов, полового воспитания, пропаганды здорового образа жизни.</w:t>
            </w:r>
          </w:p>
          <w:p w:rsidR="002026FE" w:rsidRDefault="002026FE">
            <w:pPr>
              <w:autoSpaceDE w:val="0"/>
              <w:autoSpaceDN w:val="0"/>
              <w:adjustRightInd w:val="0"/>
              <w:spacing w:after="0" w:line="264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Разработка информационных стендов, буклетов)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Укрепление репродуктивного здоровья населения.  Повышение уровня информированности населения по вопросам здорового образа жизни, сохранения репродуктивного здоровья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Проведение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флюорографического исследования населения старше 15 лет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Раннее выявление заболеваний ОГК,  охват целевой группы не менее 75 процентов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4.3.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Иммунизация детей и взрослых в рамках национального проекта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Здоровье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Снижение заболеваемости от управляемой инфекционной патологии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4.4.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Проведение профилактических осмотров и  диспансеризации детей и взрослых, организация динамического наблюдения и проведение комплексного лечения и оздоровления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охвата целевой группы не менее 75 процентов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4.5.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Проведение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индивидуальных консультаций психолога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дляматерей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, которые находятся в трудной жизненной ситуации и намерены прервать беременность или отказаться от ребенка после его рождения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 xml:space="preserve">2019 -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Увеличение числа женщин,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принявших решение в пользу сохранения беременности  и воспитания ребенка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Без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4.6.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Размещение информационных материалов, ориентированных на пропаганду здорового образа жизни и профилактику хронических неинфекционных заболеваний в средствах массовой информации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Повышение уровня информированности населения по вопросам здорового образа жизни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4.7.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Исполнение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дорожной карты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маршрутизации пациентов с острым нарушением мозгового кровообращения (ОНМК), с острым коронарным синдромом (ОКС) в первичный сосудистый центр с привлечением ТЦ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Медицины катастроф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Оказание специализированной медицинской помощи на центральных базах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часы заболевания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4.8.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Обучение работников транспорта, ГИБДД, ОМВД, педагогов, ППС МЧС, инспекторов правилам оказания первой медицинской помощи пострадавшим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Обеспечение максимальной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доступности знаний  правил оказания первой помощи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для граждан.</w:t>
            </w:r>
          </w:p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Повышение социальной ответственности граждан за здоровье окружающих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4.9.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Оптимизация работы передвижной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флюорографической 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маммографической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установки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Увеличение охвата населения для проведения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профилактических обследований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4.10.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Осуществление выездной работы врача психиатра-нарколога в наиболее неблагоприятные по уровню заболеваемости наркологическими заболеваниями населенные пункты для непосредственного проведения приема, определения групп риска, при необходимости проведения консультационного и лечебного обеспечения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Профилактика пьянства и алкоголизма, суицидов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4.11.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Проведение мониторинга немедицинского потребления наркотических средств учащимися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Профилактика  потребления наркотических средств учащимися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4.12.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скринингов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лицам старше 65 лет, проживающих в сельских населенных пунктах,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на выявление отдельных социально значимых заболеваний, оказывающих вклад в общую структуру смертности населения на территории МО ГО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Профилактика и выявление на ранней стадии развития  заболеваний у лиц пожилого возраста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ГБУЗ РК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ВЦРБ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Спорт - норма жизни</w:t>
            </w: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5.1.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Организация и проведение физкультурно-спортивных мероприятий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Увеличение количества участников массовых, физкультурно-спортивных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мероприятий среди различных групп и категорий населения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Сектор по спорту и молодежной политики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администрации городского округа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Вуктыл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далее -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ССиМП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250</w:t>
            </w:r>
            <w:r w:rsidR="005949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тыс. руб (местный бюджет)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 xml:space="preserve">5.2.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Реализация Всероссийского физкультурно-спортивного комплекса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Готов к труду и обороне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ГТО), предусматривающего тестирование уровня физической подготовленности всех категорий и групп населения, включая Всероссийские зимние и летние  фестивали комплекса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2019 - 2021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Увеличение доли граждан, выполнивших нормативы ГТО в общей численности населения, принявшего участие в сдаче нормативов ГТО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ССиМП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240</w:t>
            </w:r>
            <w:r w:rsidR="005949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тыс. руб (местный бюджет)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5.3.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Реализация проекта 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Народный бюджет</w:t>
            </w: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в сфере физической культуры и спорта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2019 - 2021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Открытие проектов народного бюджета в сфере физической культуры и спорта, получение дополнительных возможностей для оснащения населенных пунктов спортивным оборудованием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ССиМП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в зависимости от проекта) 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5.4.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Устройство беговой дорожки на стадионе города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Увеличение доли населения,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занимающихся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 физической культурой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ССиМП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</w:t>
            </w:r>
            <w:r w:rsidR="00B656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млн. руб (иные источники)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5.5.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Реализация мероприятий, направленных на развитие базовых видов спорта  (лыжные гонки, плавание, бокс, футбол, спортивная борьба)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Получение гражданами возможности заниматься любимыми видами спорта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ССиМП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026FE" w:rsidTr="002026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26FE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5.6.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Подготовка и размещение информационных материалов о спортивных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lastRenderedPageBreak/>
              <w:t>мероприятиях, проводимых на территории округа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2019 - 2024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P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Не менее 70 процентов</w:t>
            </w:r>
            <w:r w:rsidR="00594967"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населения охвачено мероприятиями информационно-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lastRenderedPageBreak/>
              <w:t>коммуникационной кампании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ССиМП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026FE" w:rsidRDefault="0020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C5614D" w:rsidRDefault="00B656D1"/>
    <w:sectPr w:rsidR="00C5614D" w:rsidSect="002026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6FE"/>
    <w:rsid w:val="002026FE"/>
    <w:rsid w:val="00594967"/>
    <w:rsid w:val="005C326E"/>
    <w:rsid w:val="00766F26"/>
    <w:rsid w:val="008A07DA"/>
    <w:rsid w:val="00B6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2454</Words>
  <Characters>13988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Рогозина Ирина Григорьевна</cp:lastModifiedBy>
  <cp:revision>3</cp:revision>
  <dcterms:created xsi:type="dcterms:W3CDTF">2020-05-28T13:30:00Z</dcterms:created>
  <dcterms:modified xsi:type="dcterms:W3CDTF">2020-05-28T13:42:00Z</dcterms:modified>
</cp:coreProperties>
</file>