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7A" w:rsidRDefault="005A7D7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A7D7A" w:rsidRDefault="005A7D7A">
      <w:pPr>
        <w:pStyle w:val="ConsPlusNormal"/>
        <w:jc w:val="both"/>
        <w:outlineLvl w:val="0"/>
      </w:pPr>
    </w:p>
    <w:p w:rsidR="005A7D7A" w:rsidRDefault="005A7D7A">
      <w:pPr>
        <w:pStyle w:val="ConsPlusTitle"/>
        <w:jc w:val="center"/>
      </w:pPr>
      <w:r>
        <w:t>ПРАВИТЕЛЬСТВО РОССИЙСКОЙ ФЕДЕРАЦИИ</w:t>
      </w:r>
    </w:p>
    <w:p w:rsidR="005A7D7A" w:rsidRDefault="005A7D7A">
      <w:pPr>
        <w:pStyle w:val="ConsPlusTitle"/>
        <w:jc w:val="center"/>
      </w:pPr>
    </w:p>
    <w:p w:rsidR="005A7D7A" w:rsidRDefault="005A7D7A">
      <w:pPr>
        <w:pStyle w:val="ConsPlusTitle"/>
        <w:jc w:val="center"/>
      </w:pPr>
      <w:r>
        <w:t>ПОСТАНОВЛЕНИЕ</w:t>
      </w:r>
    </w:p>
    <w:p w:rsidR="005A7D7A" w:rsidRDefault="005A7D7A">
      <w:pPr>
        <w:pStyle w:val="ConsPlusTitle"/>
        <w:jc w:val="center"/>
      </w:pPr>
      <w:r>
        <w:t>от 12 ноября 2020 г. N 1823</w:t>
      </w:r>
    </w:p>
    <w:p w:rsidR="005A7D7A" w:rsidRDefault="005A7D7A">
      <w:pPr>
        <w:pStyle w:val="ConsPlusTitle"/>
        <w:jc w:val="center"/>
      </w:pPr>
    </w:p>
    <w:p w:rsidR="005A7D7A" w:rsidRDefault="005A7D7A">
      <w:pPr>
        <w:pStyle w:val="ConsPlusTitle"/>
        <w:jc w:val="center"/>
      </w:pPr>
      <w:r>
        <w:t>ОБ УСТАНОВЛЕНИИ</w:t>
      </w:r>
    </w:p>
    <w:p w:rsidR="005A7D7A" w:rsidRDefault="005A7D7A">
      <w:pPr>
        <w:pStyle w:val="ConsPlusTitle"/>
        <w:jc w:val="center"/>
      </w:pPr>
      <w:r>
        <w:t>НА 2021 ГОД ДОПУСТИМОЙ ДОЛИ ИНОСТРАННЫХ РАБОТНИКОВ,</w:t>
      </w:r>
    </w:p>
    <w:p w:rsidR="005A7D7A" w:rsidRDefault="005A7D7A">
      <w:pPr>
        <w:pStyle w:val="ConsPlusTitle"/>
        <w:jc w:val="center"/>
      </w:pPr>
      <w:r>
        <w:t>ИСПОЛЬЗУЕМЫХ ХОЗЯЙСТВУЮЩИМИ СУБЪЕКТАМИ, ОСУЩЕСТВЛЯЮЩИМИ</w:t>
      </w:r>
    </w:p>
    <w:p w:rsidR="005A7D7A" w:rsidRDefault="005A7D7A">
      <w:pPr>
        <w:pStyle w:val="ConsPlusTitle"/>
        <w:jc w:val="center"/>
      </w:pPr>
      <w:r>
        <w:t>НА ТЕРРИТОРИИ РОССИЙСКОЙ ФЕДЕРАЦИИ ОТДЕЛЬНЫЕ ВИДЫ</w:t>
      </w:r>
    </w:p>
    <w:p w:rsidR="005A7D7A" w:rsidRDefault="005A7D7A">
      <w:pPr>
        <w:pStyle w:val="ConsPlusTitle"/>
        <w:jc w:val="center"/>
      </w:pPr>
      <w:r>
        <w:t>ЭКОНОМИЧЕСКОЙ ДЕЯТЕЛЬНОСТИ</w:t>
      </w:r>
    </w:p>
    <w:p w:rsidR="005A7D7A" w:rsidRDefault="005A7D7A">
      <w:pPr>
        <w:pStyle w:val="ConsPlusNormal"/>
        <w:jc w:val="both"/>
      </w:pPr>
    </w:p>
    <w:p w:rsidR="005A7D7A" w:rsidRDefault="005A7D7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 статьи 18.1</w:t>
        </w:r>
      </w:hyperlink>
      <w:r>
        <w:t xml:space="preserve"> Федерального закона "О правовом положении иностранных граждан в Российской Федерации" Правительство Российской Федерации постановляет:</w:t>
      </w:r>
    </w:p>
    <w:p w:rsidR="005A7D7A" w:rsidRDefault="005A7D7A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Установить на 2021 год допустимую долю иностранных работников, используемых хозяйствующими субъектами, осуществляющими на территории Российской Федерации следующие виды деятельности, предусмотренные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 029-2014 (КДЕС Ред. 2):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а) выращивание овощей </w:t>
      </w:r>
      <w:hyperlink r:id="rId7" w:history="1">
        <w:r>
          <w:rPr>
            <w:color w:val="0000FF"/>
          </w:rPr>
          <w:t>(код 01.13.1)</w:t>
        </w:r>
      </w:hyperlink>
      <w:r>
        <w:t xml:space="preserve"> - в размере 50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б) лесоводство и лесозаготовки </w:t>
      </w:r>
      <w:hyperlink r:id="rId8" w:history="1">
        <w:r>
          <w:rPr>
            <w:color w:val="0000FF"/>
          </w:rPr>
          <w:t>(код 02)</w:t>
        </w:r>
      </w:hyperlink>
      <w:r>
        <w:t xml:space="preserve"> - в размере 50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в) обработка древесины и производство изделий из дерева и пробки, кроме мебели, производство изделий из соломки и материалов для плетения </w:t>
      </w:r>
      <w:hyperlink r:id="rId9" w:history="1">
        <w:r>
          <w:rPr>
            <w:color w:val="0000FF"/>
          </w:rPr>
          <w:t>(код 16)</w:t>
        </w:r>
      </w:hyperlink>
      <w:r>
        <w:t xml:space="preserve"> - в размере 50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г) строительство </w:t>
      </w:r>
      <w:hyperlink r:id="rId10" w:history="1">
        <w:r>
          <w:rPr>
            <w:color w:val="0000FF"/>
          </w:rPr>
          <w:t>(раздел F)</w:t>
        </w:r>
      </w:hyperlink>
      <w:r>
        <w:t xml:space="preserve"> - в размере 80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д) торговля оптовая древесным сырьем и необработанными лесоматериалами </w:t>
      </w:r>
      <w:hyperlink r:id="rId11" w:history="1">
        <w:r>
          <w:rPr>
            <w:color w:val="0000FF"/>
          </w:rPr>
          <w:t>(код 46.73.1)</w:t>
        </w:r>
      </w:hyperlink>
      <w:r>
        <w:t xml:space="preserve"> - в размере 50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е) торговля оптовая пиломатериалами </w:t>
      </w:r>
      <w:hyperlink r:id="rId12" w:history="1">
        <w:r>
          <w:rPr>
            <w:color w:val="0000FF"/>
          </w:rPr>
          <w:t>(код 46.73.2)</w:t>
        </w:r>
      </w:hyperlink>
      <w:r>
        <w:t xml:space="preserve"> - в размере 50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ж) торговля розничная алкогольными напитками, включая пиво, в специализированных магазинах </w:t>
      </w:r>
      <w:hyperlink r:id="rId13" w:history="1">
        <w:r>
          <w:rPr>
            <w:color w:val="0000FF"/>
          </w:rPr>
          <w:t>(код 47.25.1)</w:t>
        </w:r>
      </w:hyperlink>
      <w:r>
        <w:t xml:space="preserve"> - в размере 15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з) торговля розничная табачными изделиями в специализированных магазинах </w:t>
      </w:r>
      <w:hyperlink r:id="rId14" w:history="1">
        <w:r>
          <w:rPr>
            <w:color w:val="0000FF"/>
          </w:rPr>
          <w:t>(код 47.26)</w:t>
        </w:r>
      </w:hyperlink>
      <w:r>
        <w:t xml:space="preserve"> - в размере 15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и) торговля розничная лекарственными средствами в специализированных магазинах (аптеках) </w:t>
      </w:r>
      <w:hyperlink r:id="rId15" w:history="1">
        <w:r>
          <w:rPr>
            <w:color w:val="0000FF"/>
          </w:rPr>
          <w:t>(код 47.73)</w:t>
        </w:r>
      </w:hyperlink>
      <w:r>
        <w:t xml:space="preserve"> - в размере 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к) торговля розничная в нестационарных торговых объектах и на рынках </w:t>
      </w:r>
      <w:hyperlink r:id="rId16" w:history="1">
        <w:r>
          <w:rPr>
            <w:color w:val="0000FF"/>
          </w:rPr>
          <w:t>(код 47.8)</w:t>
        </w:r>
      </w:hyperlink>
      <w:r>
        <w:t xml:space="preserve"> - в размере </w:t>
      </w:r>
      <w:r>
        <w:lastRenderedPageBreak/>
        <w:t>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л) торговля розничная прочая вне магазинов, палаток, рынков </w:t>
      </w:r>
      <w:hyperlink r:id="rId17" w:history="1">
        <w:r>
          <w:rPr>
            <w:color w:val="0000FF"/>
          </w:rPr>
          <w:t>(код 47.99)</w:t>
        </w:r>
      </w:hyperlink>
      <w:r>
        <w:t xml:space="preserve"> - в размере 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м) деятельность прочего сухопутного пассажирского транспорта </w:t>
      </w:r>
      <w:hyperlink r:id="rId18" w:history="1">
        <w:r>
          <w:rPr>
            <w:color w:val="0000FF"/>
          </w:rPr>
          <w:t>(код 49.3)</w:t>
        </w:r>
      </w:hyperlink>
      <w:r>
        <w:t xml:space="preserve"> - в размере 24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н) деятельность автомобильного грузового транспорта </w:t>
      </w:r>
      <w:hyperlink r:id="rId19" w:history="1">
        <w:r>
          <w:rPr>
            <w:color w:val="0000FF"/>
          </w:rPr>
          <w:t>(код 49.41)</w:t>
        </w:r>
      </w:hyperlink>
      <w:r>
        <w:t xml:space="preserve"> - в размере 24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о) управление недвижимым имуществом за вознаграждение или на договорной основе </w:t>
      </w:r>
      <w:hyperlink r:id="rId20" w:history="1">
        <w:r>
          <w:rPr>
            <w:color w:val="0000FF"/>
          </w:rPr>
          <w:t>(код 68.32)</w:t>
        </w:r>
      </w:hyperlink>
      <w:r>
        <w:t xml:space="preserve"> - в размере 70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п) деятельность по обслуживанию зданий и территорий </w:t>
      </w:r>
      <w:hyperlink r:id="rId21" w:history="1">
        <w:r>
          <w:rPr>
            <w:color w:val="0000FF"/>
          </w:rPr>
          <w:t>(код 81)</w:t>
        </w:r>
      </w:hyperlink>
      <w:r>
        <w:t xml:space="preserve"> - в размере 70 процентов общей численности работников, используемых указанными хозяйствующими субъектами;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р) деятельность в области спорта прочая </w:t>
      </w:r>
      <w:hyperlink r:id="rId22" w:history="1">
        <w:r>
          <w:rPr>
            <w:color w:val="0000FF"/>
          </w:rPr>
          <w:t>(код 93.19)</w:t>
        </w:r>
      </w:hyperlink>
      <w:r>
        <w:t xml:space="preserve"> - в размере 25 процентов общей численности работников, используемых указанными хозяйствующими субъектами.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17" w:history="1">
        <w:r>
          <w:rPr>
            <w:color w:val="0000FF"/>
          </w:rPr>
          <w:t>подпункт "г" пункта 1</w:t>
        </w:r>
      </w:hyperlink>
      <w: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территорий Республики Бурятия, Республики Дагестан, Амурской области и г. Москвы.</w:t>
      </w:r>
    </w:p>
    <w:p w:rsidR="005A7D7A" w:rsidRDefault="005A7D7A">
      <w:pPr>
        <w:pStyle w:val="ConsPlusNormal"/>
        <w:spacing w:before="220"/>
        <w:ind w:firstLine="540"/>
        <w:jc w:val="both"/>
      </w:pPr>
      <w:bookmarkStart w:id="2" w:name="P31"/>
      <w:bookmarkEnd w:id="2"/>
      <w:r>
        <w:t xml:space="preserve">3. Установить на 2021 год допустимую долю иностранных работников, используемых хозяйствующими субъектами, осуществляющими на территории Республики Дагестан деятельность в сфере строительства </w:t>
      </w:r>
      <w:hyperlink r:id="rId23" w:history="1">
        <w:r>
          <w:rPr>
            <w:color w:val="0000FF"/>
          </w:rPr>
          <w:t>(раздел F)</w:t>
        </w:r>
      </w:hyperlink>
      <w:r>
        <w:t>, в размере 50 процентов общей численности работников, используемых указанными хозяйствующими субъектами.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 xml:space="preserve">4. Хозяйствующим субъектам, указанным в </w:t>
      </w:r>
      <w:hyperlink w:anchor="P13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31" w:history="1">
        <w:r>
          <w:rPr>
            <w:color w:val="0000FF"/>
          </w:rPr>
          <w:t>3</w:t>
        </w:r>
      </w:hyperlink>
      <w:r>
        <w:t xml:space="preserve"> настоящего постановления, до 1 января 2021 г. привести численность используемых иностранных работников в соответствие с настоящим постановлением, руководствуясь требованиями трудового законодательства Российской Федерации.</w:t>
      </w:r>
    </w:p>
    <w:p w:rsidR="005A7D7A" w:rsidRDefault="005A7D7A">
      <w:pPr>
        <w:pStyle w:val="ConsPlusNormal"/>
        <w:spacing w:before="220"/>
        <w:ind w:firstLine="540"/>
        <w:jc w:val="both"/>
      </w:pPr>
      <w:r>
        <w:t>5. Министерству труда и социальной защиты Российской Федерации давать разъяснения по применению настоящего постановления.</w:t>
      </w:r>
    </w:p>
    <w:p w:rsidR="005A7D7A" w:rsidRDefault="005A7D7A">
      <w:pPr>
        <w:pStyle w:val="ConsPlusNormal"/>
        <w:jc w:val="both"/>
      </w:pPr>
    </w:p>
    <w:p w:rsidR="005A7D7A" w:rsidRDefault="005A7D7A">
      <w:pPr>
        <w:pStyle w:val="ConsPlusNormal"/>
        <w:jc w:val="right"/>
      </w:pPr>
      <w:r>
        <w:t>Председатель Правительства</w:t>
      </w:r>
    </w:p>
    <w:p w:rsidR="005A7D7A" w:rsidRDefault="005A7D7A">
      <w:pPr>
        <w:pStyle w:val="ConsPlusNormal"/>
        <w:jc w:val="right"/>
      </w:pPr>
      <w:r>
        <w:t>Российской Федерации</w:t>
      </w:r>
    </w:p>
    <w:p w:rsidR="005A7D7A" w:rsidRDefault="005A7D7A">
      <w:pPr>
        <w:pStyle w:val="ConsPlusNormal"/>
        <w:jc w:val="right"/>
      </w:pPr>
      <w:r>
        <w:t>М.МИШУСТИН</w:t>
      </w:r>
    </w:p>
    <w:p w:rsidR="005A7D7A" w:rsidRDefault="005A7D7A">
      <w:pPr>
        <w:pStyle w:val="ConsPlusNormal"/>
        <w:jc w:val="both"/>
      </w:pPr>
    </w:p>
    <w:p w:rsidR="005A7D7A" w:rsidRDefault="005A7D7A">
      <w:pPr>
        <w:pStyle w:val="ConsPlusNormal"/>
        <w:jc w:val="both"/>
      </w:pPr>
    </w:p>
    <w:p w:rsidR="005A7D7A" w:rsidRDefault="005A7D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F69" w:rsidRDefault="005D5F69">
      <w:bookmarkStart w:id="3" w:name="_GoBack"/>
      <w:bookmarkEnd w:id="3"/>
    </w:p>
    <w:sectPr w:rsidR="005D5F69" w:rsidSect="0047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7A"/>
    <w:rsid w:val="005A7D7A"/>
    <w:rsid w:val="005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B8194-0C64-445C-9FDB-884EC02A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7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387820AD124DA76E22314A47348F8295EF67B8E219AB2C2A051432FCB6070A8FE56D1C7C0633200AB8E91C90BB7029883A130C964D999sCf4I" TargetMode="External"/><Relationship Id="rId13" Type="http://schemas.openxmlformats.org/officeDocument/2006/relationships/hyperlink" Target="consultantplus://offline/ref=27E387820AD124DA76E22314A47348F8295EF67B8E219AB2C2A051432FCB6070A8FE56D1C7C3663905AB8E91C90BB7029883A130C964D999sCf4I" TargetMode="External"/><Relationship Id="rId18" Type="http://schemas.openxmlformats.org/officeDocument/2006/relationships/hyperlink" Target="consultantplus://offline/ref=27E387820AD124DA76E22314A47348F8295EF67B8E219AB2C2A051432FCB6070A8FE56D1C7C3693F05AB8E91C90BB7029883A130C964D999sCf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E387820AD124DA76E22314A47348F8295EF67B8E219AB2C2A051432FCB6070A8FE56D1C7C5613D05AB8E91C90BB7029883A130C964D999sCf4I" TargetMode="External"/><Relationship Id="rId7" Type="http://schemas.openxmlformats.org/officeDocument/2006/relationships/hyperlink" Target="consultantplus://offline/ref=27E387820AD124DA76E22314A47348F8295EF67B8E219AB2C2A051432FCB6070A8FE56D1C7C0613C00AB8E91C90BB7029883A130C964D999sCf4I" TargetMode="External"/><Relationship Id="rId12" Type="http://schemas.openxmlformats.org/officeDocument/2006/relationships/hyperlink" Target="consultantplus://offline/ref=27E387820AD124DA76E22314A47348F8295EF67B8E219AB2C2A051432FCB6070A8FE56D1C7C3653904AB8E91C90BB7029883A130C964D999sCf4I" TargetMode="External"/><Relationship Id="rId17" Type="http://schemas.openxmlformats.org/officeDocument/2006/relationships/hyperlink" Target="consultantplus://offline/ref=27E387820AD124DA76E22314A47348F8295EF67B8E219AB2C2A051432FCB6070A8FE56D1C7C3693B07AB8E91C90BB7029883A130C964D999sCf4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E387820AD124DA76E22314A47348F8295EF67B8E219AB2C2A051432FCB6070A8FE56D1C7C3683C05AB8E91C90BB7029883A130C964D999sCf4I" TargetMode="External"/><Relationship Id="rId20" Type="http://schemas.openxmlformats.org/officeDocument/2006/relationships/hyperlink" Target="consultantplus://offline/ref=27E387820AD124DA76E22314A47348F8295EF67B8E219AB2C2A051432FCB6070A8FE56D1C7C4673303AB8E91C90BB7029883A130C964D999sCf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E387820AD124DA76E22314A47348F8295EF67B8E219AB2C2A051432FCB6070BAFE0EDDC7C67E3B01BED8C08Fs5fFI" TargetMode="External"/><Relationship Id="rId11" Type="http://schemas.openxmlformats.org/officeDocument/2006/relationships/hyperlink" Target="consultantplus://offline/ref=27E387820AD124DA76E22314A47348F8295EF67B8E219AB2C2A051432FCB6070A8FE56D1C7C3653A0CAB8E91C90BB7029883A130C964D999sCf4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27E387820AD124DA76E22314A47348F8295EF07D8F259AB2C2A051432FCB6070A8FE56D1C7C66B6F54E48FCD8D58A4029A83A334D5s6f7I" TargetMode="External"/><Relationship Id="rId15" Type="http://schemas.openxmlformats.org/officeDocument/2006/relationships/hyperlink" Target="consultantplus://offline/ref=27E387820AD124DA76E22314A47348F8295EF67B8E219AB2C2A051432FCB6070A8FE56D1C7C3683B03AB8E91C90BB7029883A130C964D999sCf4I" TargetMode="External"/><Relationship Id="rId23" Type="http://schemas.openxmlformats.org/officeDocument/2006/relationships/hyperlink" Target="consultantplus://offline/ref=27E387820AD124DA76E22314A47348F8295EF67B8E219AB2C2A051432FCB6070A8FE56D1C7C660390DAB8E91C90BB7029883A130C964D999sCf4I" TargetMode="External"/><Relationship Id="rId10" Type="http://schemas.openxmlformats.org/officeDocument/2006/relationships/hyperlink" Target="consultantplus://offline/ref=27E387820AD124DA76E22314A47348F8295EF67B8E219AB2C2A051432FCB6070A8FE56D1C7C660390DAB8E91C90BB7029883A130C964D999sCf4I" TargetMode="External"/><Relationship Id="rId19" Type="http://schemas.openxmlformats.org/officeDocument/2006/relationships/hyperlink" Target="consultantplus://offline/ref=27E387820AD124DA76E22314A47348F8295EF67B8E219AB2C2A051432FCB6070A8FE56D1C7C3693207AB8E91C90BB7029883A130C964D999sCf4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7E387820AD124DA76E22314A47348F8295EF67B8E219AB2C2A051432FCB6070A8FE56D1C7C1633907AB8E91C90BB7029883A130C964D999sCf4I" TargetMode="External"/><Relationship Id="rId14" Type="http://schemas.openxmlformats.org/officeDocument/2006/relationships/hyperlink" Target="consultantplus://offline/ref=27E387820AD124DA76E22314A47348F8295EF67B8E219AB2C2A051432FCB6070A8FE56D1C7C366390DAB8E91C90BB7029883A130C964D999sCf4I" TargetMode="External"/><Relationship Id="rId22" Type="http://schemas.openxmlformats.org/officeDocument/2006/relationships/hyperlink" Target="consultantplus://offline/ref=27E387820AD124DA76E22314A47348F8295EF67B8E219AB2C2A051432FCB6070A8FE56D1C7C5653A0DAB8E91C90BB7029883A130C964D999sC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Дарья Анатольевна</dc:creator>
  <cp:keywords/>
  <dc:description/>
  <cp:lastModifiedBy>Ануфриева Дарья Анатольевна</cp:lastModifiedBy>
  <cp:revision>1</cp:revision>
  <dcterms:created xsi:type="dcterms:W3CDTF">2021-04-06T08:31:00Z</dcterms:created>
  <dcterms:modified xsi:type="dcterms:W3CDTF">2021-04-06T08:32:00Z</dcterms:modified>
</cp:coreProperties>
</file>